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0BF3" w14:textId="531D38FF" w:rsidR="00D21ADB" w:rsidRPr="00B718EB" w:rsidRDefault="00D21ADB" w:rsidP="00D21ADB">
      <w:pPr>
        <w:spacing w:line="276" w:lineRule="auto"/>
        <w:rPr>
          <w:sz w:val="22"/>
          <w:szCs w:val="22"/>
        </w:rPr>
      </w:pPr>
      <w:r w:rsidRPr="00B718EB">
        <w:rPr>
          <w:sz w:val="22"/>
          <w:szCs w:val="22"/>
        </w:rPr>
        <w:t>CMPSC 445</w:t>
      </w:r>
    </w:p>
    <w:p w14:paraId="2D52021F" w14:textId="6DCFDA20" w:rsidR="00D21ADB" w:rsidRPr="00B718EB" w:rsidRDefault="00D21ADB" w:rsidP="00D21ADB">
      <w:pPr>
        <w:spacing w:line="276" w:lineRule="auto"/>
        <w:rPr>
          <w:sz w:val="22"/>
          <w:szCs w:val="22"/>
        </w:rPr>
      </w:pPr>
      <w:r w:rsidRPr="00B718EB">
        <w:rPr>
          <w:sz w:val="22"/>
          <w:szCs w:val="22"/>
        </w:rPr>
        <w:t>Dhruv Shrivastava</w:t>
      </w:r>
    </w:p>
    <w:p w14:paraId="64E9D6C8" w14:textId="2CB1E27B" w:rsidR="00D21ADB" w:rsidRPr="00B718EB" w:rsidRDefault="00D21ADB" w:rsidP="00D21ADB">
      <w:pPr>
        <w:spacing w:line="276" w:lineRule="auto"/>
        <w:rPr>
          <w:sz w:val="22"/>
          <w:szCs w:val="22"/>
        </w:rPr>
      </w:pPr>
      <w:r w:rsidRPr="00B718EB">
        <w:rPr>
          <w:sz w:val="22"/>
          <w:szCs w:val="22"/>
        </w:rPr>
        <w:t>M3 Assignment: Decision Trees</w:t>
      </w:r>
    </w:p>
    <w:p w14:paraId="01F73628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0F8BAAC8" w14:textId="2BDB8E4F" w:rsidR="00D21ADB" w:rsidRPr="00B718EB" w:rsidRDefault="00D21ADB" w:rsidP="00D21ADB">
      <w:pPr>
        <w:spacing w:line="276" w:lineRule="auto"/>
        <w:rPr>
          <w:sz w:val="22"/>
          <w:szCs w:val="22"/>
          <w:u w:val="single"/>
        </w:rPr>
      </w:pPr>
      <w:r w:rsidRPr="00B718EB">
        <w:rPr>
          <w:sz w:val="22"/>
          <w:szCs w:val="22"/>
          <w:u w:val="single"/>
        </w:rPr>
        <w:t>Part 2 Questions</w:t>
      </w:r>
    </w:p>
    <w:p w14:paraId="50D67081" w14:textId="1299A855" w:rsidR="00D21ADB" w:rsidRPr="00090DD2" w:rsidRDefault="00D21ADB" w:rsidP="00D21ADB">
      <w:pPr>
        <w:spacing w:line="276" w:lineRule="auto"/>
        <w:rPr>
          <w:sz w:val="6"/>
          <w:szCs w:val="6"/>
        </w:rPr>
      </w:pPr>
    </w:p>
    <w:p w14:paraId="052418F0" w14:textId="6867157E" w:rsidR="00D21ADB" w:rsidRPr="00B718EB" w:rsidRDefault="00D21ADB" w:rsidP="00D21ADB">
      <w:pPr>
        <w:spacing w:line="276" w:lineRule="auto"/>
        <w:rPr>
          <w:sz w:val="22"/>
          <w:szCs w:val="22"/>
        </w:rPr>
      </w:pPr>
      <w:r w:rsidRPr="00090DD2">
        <w:rPr>
          <w:b/>
          <w:bCs/>
          <w:sz w:val="22"/>
          <w:szCs w:val="22"/>
        </w:rPr>
        <w:t>2.1.</w:t>
      </w:r>
      <w:r w:rsidRPr="00B718EB">
        <w:rPr>
          <w:sz w:val="22"/>
          <w:szCs w:val="22"/>
        </w:rPr>
        <w:t xml:space="preserve"> The dimensions of the dataset are attributes related to the </w:t>
      </w:r>
      <w:r w:rsidR="00A25D33" w:rsidRPr="00B718EB">
        <w:rPr>
          <w:sz w:val="22"/>
          <w:szCs w:val="22"/>
        </w:rPr>
        <w:t>Iris plant</w:t>
      </w:r>
      <w:r w:rsidRPr="00B718EB">
        <w:rPr>
          <w:sz w:val="22"/>
          <w:szCs w:val="22"/>
        </w:rPr>
        <w:t xml:space="preserve"> such as sepal-length, sepal-width, petal-length, petal-width, and the target labels for classification. </w:t>
      </w:r>
      <w:r w:rsidR="00A25D33" w:rsidRPr="00B718EB">
        <w:rPr>
          <w:sz w:val="22"/>
          <w:szCs w:val="22"/>
        </w:rPr>
        <w:t>Excluding</w:t>
      </w:r>
      <w:r w:rsidRPr="00B718EB">
        <w:rPr>
          <w:sz w:val="22"/>
          <w:szCs w:val="22"/>
        </w:rPr>
        <w:t xml:space="preserve"> the index column, there are 5 features (columns) with 150 instances (data points).</w:t>
      </w:r>
    </w:p>
    <w:p w14:paraId="140DD23C" w14:textId="46964CF5" w:rsidR="00D21ADB" w:rsidRPr="00B718EB" w:rsidRDefault="00D21ADB" w:rsidP="00D21ADB">
      <w:pPr>
        <w:spacing w:line="276" w:lineRule="auto"/>
        <w:rPr>
          <w:sz w:val="22"/>
          <w:szCs w:val="22"/>
        </w:rPr>
      </w:pPr>
      <w:r w:rsidRPr="00B718EB">
        <w:rPr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CD47D3A" wp14:editId="79FA91A8">
            <wp:simplePos x="0" y="0"/>
            <wp:positionH relativeFrom="column">
              <wp:posOffset>508662</wp:posOffset>
            </wp:positionH>
            <wp:positionV relativeFrom="paragraph">
              <wp:posOffset>15240</wp:posOffset>
            </wp:positionV>
            <wp:extent cx="5031105" cy="3657600"/>
            <wp:effectExtent l="0" t="0" r="0" b="0"/>
            <wp:wrapTight wrapText="bothSides">
              <wp:wrapPolygon edited="0">
                <wp:start x="2181" y="0"/>
                <wp:lineTo x="1363" y="150"/>
                <wp:lineTo x="382" y="825"/>
                <wp:lineTo x="109" y="2550"/>
                <wp:lineTo x="55" y="3600"/>
                <wp:lineTo x="55" y="18525"/>
                <wp:lineTo x="218" y="19950"/>
                <wp:lineTo x="436" y="20550"/>
                <wp:lineTo x="654" y="20550"/>
                <wp:lineTo x="654" y="20925"/>
                <wp:lineTo x="1581" y="21375"/>
                <wp:lineTo x="2290" y="21525"/>
                <wp:lineTo x="18484" y="21525"/>
                <wp:lineTo x="19847" y="21375"/>
                <wp:lineTo x="20883" y="21000"/>
                <wp:lineTo x="20828" y="20550"/>
                <wp:lineTo x="21047" y="20550"/>
                <wp:lineTo x="21374" y="19725"/>
                <wp:lineTo x="21483" y="18000"/>
                <wp:lineTo x="21483" y="2550"/>
                <wp:lineTo x="21265" y="1725"/>
                <wp:lineTo x="21210" y="750"/>
                <wp:lineTo x="20120" y="225"/>
                <wp:lineTo x="18811" y="0"/>
                <wp:lineTo x="2181" y="0"/>
              </wp:wrapPolygon>
            </wp:wrapTight>
            <wp:docPr id="2085349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4909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D6640" w14:textId="03253CB3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13CBF711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3C747F14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5BBB83E3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23296154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3EB988C3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65F63BFF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72A686AC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28909E39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1AB29F6B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327E23B1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2EA97DFB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7FD6A9F4" w14:textId="77777777" w:rsidR="00D21ADB" w:rsidRDefault="00D21ADB" w:rsidP="00D21ADB">
      <w:pPr>
        <w:spacing w:line="276" w:lineRule="auto"/>
        <w:rPr>
          <w:sz w:val="22"/>
          <w:szCs w:val="22"/>
        </w:rPr>
      </w:pPr>
    </w:p>
    <w:p w14:paraId="6BC0122F" w14:textId="77777777" w:rsidR="00B718EB" w:rsidRDefault="00B718EB" w:rsidP="00D21ADB">
      <w:pPr>
        <w:spacing w:line="276" w:lineRule="auto"/>
        <w:rPr>
          <w:sz w:val="22"/>
          <w:szCs w:val="22"/>
        </w:rPr>
      </w:pPr>
    </w:p>
    <w:p w14:paraId="407E31F0" w14:textId="77777777" w:rsidR="00B718EB" w:rsidRPr="00B718EB" w:rsidRDefault="00B718EB" w:rsidP="00D21ADB">
      <w:pPr>
        <w:spacing w:line="276" w:lineRule="auto"/>
        <w:rPr>
          <w:sz w:val="22"/>
          <w:szCs w:val="22"/>
        </w:rPr>
      </w:pPr>
    </w:p>
    <w:p w14:paraId="49066F68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1207958D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403C3534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0DB2E80A" w14:textId="77777777" w:rsidR="00D21ADB" w:rsidRPr="00B718EB" w:rsidRDefault="00D21ADB" w:rsidP="00D21ADB">
      <w:pPr>
        <w:spacing w:line="276" w:lineRule="auto"/>
        <w:rPr>
          <w:sz w:val="22"/>
          <w:szCs w:val="22"/>
        </w:rPr>
      </w:pPr>
    </w:p>
    <w:p w14:paraId="79945274" w14:textId="5CF951E2" w:rsidR="00D21ADB" w:rsidRPr="00B718EB" w:rsidRDefault="00D21ADB" w:rsidP="00D21ADB">
      <w:pPr>
        <w:spacing w:line="276" w:lineRule="auto"/>
        <w:rPr>
          <w:sz w:val="22"/>
          <w:szCs w:val="22"/>
        </w:rPr>
      </w:pPr>
      <w:r w:rsidRPr="00090DD2">
        <w:rPr>
          <w:b/>
          <w:bCs/>
          <w:sz w:val="22"/>
          <w:szCs w:val="22"/>
        </w:rPr>
        <w:t>2.2.</w:t>
      </w:r>
      <w:r w:rsidRPr="00B718EB">
        <w:rPr>
          <w:sz w:val="22"/>
          <w:szCs w:val="22"/>
        </w:rPr>
        <w:t xml:space="preserve"> </w:t>
      </w:r>
      <w:r w:rsidR="00973A88" w:rsidRPr="00B718EB">
        <w:rPr>
          <w:sz w:val="22"/>
          <w:szCs w:val="22"/>
        </w:rPr>
        <w:t>The labels of the dataset is what the decision tree classifier is trying predict</w:t>
      </w:r>
      <w:r w:rsidR="00A25D33" w:rsidRPr="00B718EB">
        <w:rPr>
          <w:sz w:val="22"/>
          <w:szCs w:val="22"/>
        </w:rPr>
        <w:t xml:space="preserve"> or the targets</w:t>
      </w:r>
      <w:r w:rsidR="00973A88" w:rsidRPr="00B718EB">
        <w:rPr>
          <w:sz w:val="22"/>
          <w:szCs w:val="22"/>
        </w:rPr>
        <w:t>, the type</w:t>
      </w:r>
      <w:r w:rsidR="00A25D33" w:rsidRPr="00B718EB">
        <w:rPr>
          <w:sz w:val="22"/>
          <w:szCs w:val="22"/>
        </w:rPr>
        <w:t xml:space="preserve"> of Iris plant</w:t>
      </w:r>
      <w:r w:rsidR="00973A88" w:rsidRPr="00B718EB">
        <w:rPr>
          <w:sz w:val="22"/>
          <w:szCs w:val="22"/>
        </w:rPr>
        <w:t xml:space="preserve">. </w:t>
      </w:r>
    </w:p>
    <w:p w14:paraId="6D2B3D54" w14:textId="77777777" w:rsidR="00A25D33" w:rsidRPr="00B718EB" w:rsidRDefault="00A25D33" w:rsidP="00D21ADB">
      <w:pPr>
        <w:spacing w:line="276" w:lineRule="auto"/>
        <w:rPr>
          <w:sz w:val="22"/>
          <w:szCs w:val="22"/>
        </w:rPr>
      </w:pPr>
    </w:p>
    <w:p w14:paraId="6BE2CAB9" w14:textId="217BAAA7" w:rsidR="00A25D33" w:rsidRDefault="00A25D33" w:rsidP="00D21ADB">
      <w:pPr>
        <w:spacing w:line="276" w:lineRule="auto"/>
        <w:rPr>
          <w:sz w:val="22"/>
          <w:szCs w:val="22"/>
        </w:rPr>
      </w:pPr>
      <w:r w:rsidRPr="00090DD2">
        <w:rPr>
          <w:b/>
          <w:bCs/>
          <w:sz w:val="22"/>
          <w:szCs w:val="22"/>
        </w:rPr>
        <w:t>2.3</w:t>
      </w:r>
      <w:r w:rsidR="00A70FC9" w:rsidRPr="00090DD2">
        <w:rPr>
          <w:b/>
          <w:bCs/>
          <w:sz w:val="22"/>
          <w:szCs w:val="22"/>
        </w:rPr>
        <w:t>.</w:t>
      </w:r>
      <w:r w:rsidR="00A70FC9" w:rsidRPr="00B718EB">
        <w:rPr>
          <w:sz w:val="22"/>
          <w:szCs w:val="22"/>
        </w:rPr>
        <w:t xml:space="preserve"> Considering the 3 ways the dataset was </w:t>
      </w:r>
      <w:r w:rsidR="00421CBB" w:rsidRPr="00B718EB">
        <w:rPr>
          <w:sz w:val="22"/>
          <w:szCs w:val="22"/>
        </w:rPr>
        <w:t>partitioned;</w:t>
      </w:r>
      <w:r w:rsidR="00A70FC9" w:rsidRPr="00B718EB">
        <w:rPr>
          <w:sz w:val="22"/>
          <w:szCs w:val="22"/>
        </w:rPr>
        <w:t xml:space="preserve"> the predictions came out with a very </w:t>
      </w:r>
      <w:r w:rsidR="00B718EB" w:rsidRPr="00B718EB">
        <w:rPr>
          <w:sz w:val="22"/>
          <w:szCs w:val="22"/>
        </w:rPr>
        <w:t>consistently discrete</w:t>
      </w:r>
      <w:r w:rsidR="00A70FC9" w:rsidRPr="00B718EB">
        <w:rPr>
          <w:sz w:val="22"/>
          <w:szCs w:val="22"/>
        </w:rPr>
        <w:t xml:space="preserve"> set of accuracy scores after repeated iterations of training and predictions. The size of training sets, of which the complement was the </w:t>
      </w:r>
      <w:r w:rsidR="00421CBB" w:rsidRPr="00B718EB">
        <w:rPr>
          <w:sz w:val="22"/>
          <w:szCs w:val="22"/>
        </w:rPr>
        <w:t xml:space="preserve">testing set, was linearly proportional to the accuracy score of the predicted results. </w:t>
      </w:r>
      <w:r w:rsidR="00B718EB" w:rsidRPr="00B718EB">
        <w:rPr>
          <w:sz w:val="22"/>
          <w:szCs w:val="22"/>
        </w:rPr>
        <w:t>The following table summarizes the results:</w:t>
      </w:r>
    </w:p>
    <w:p w14:paraId="4A7E56FF" w14:textId="77777777" w:rsidR="005640BC" w:rsidRPr="00090DD2" w:rsidRDefault="005640BC" w:rsidP="00D21ADB">
      <w:pPr>
        <w:spacing w:line="276" w:lineRule="auto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89"/>
        <w:tblW w:w="8950" w:type="dxa"/>
        <w:tblLook w:val="04A0" w:firstRow="1" w:lastRow="0" w:firstColumn="1" w:lastColumn="0" w:noHBand="0" w:noVBand="1"/>
      </w:tblPr>
      <w:tblGrid>
        <w:gridCol w:w="1108"/>
        <w:gridCol w:w="1088"/>
        <w:gridCol w:w="964"/>
        <w:gridCol w:w="2055"/>
        <w:gridCol w:w="1890"/>
        <w:gridCol w:w="1845"/>
      </w:tblGrid>
      <w:tr w:rsidR="00090DD2" w:rsidRPr="00B718EB" w14:paraId="516404C0" w14:textId="7653CDB7" w:rsidTr="00E701CB">
        <w:trPr>
          <w:trHeight w:val="60"/>
        </w:trPr>
        <w:tc>
          <w:tcPr>
            <w:tcW w:w="1108" w:type="dxa"/>
          </w:tcPr>
          <w:p w14:paraId="79D0A8BC" w14:textId="50485246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Partition Option</w:t>
            </w:r>
          </w:p>
        </w:tc>
        <w:tc>
          <w:tcPr>
            <w:tcW w:w="1088" w:type="dxa"/>
          </w:tcPr>
          <w:p w14:paraId="14A23565" w14:textId="187FCC63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 w:rsidRPr="00B718EB">
              <w:rPr>
                <w:sz w:val="22"/>
                <w:szCs w:val="22"/>
              </w:rPr>
              <w:t>Training Set Size</w:t>
            </w:r>
          </w:p>
        </w:tc>
        <w:tc>
          <w:tcPr>
            <w:tcW w:w="964" w:type="dxa"/>
          </w:tcPr>
          <w:p w14:paraId="2DE720AF" w14:textId="2FC3A0B1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 w:rsidRPr="00B718EB">
              <w:rPr>
                <w:sz w:val="22"/>
                <w:szCs w:val="22"/>
              </w:rPr>
              <w:t>Test Set</w:t>
            </w:r>
            <w:r>
              <w:rPr>
                <w:sz w:val="22"/>
                <w:szCs w:val="22"/>
              </w:rPr>
              <w:t xml:space="preserve"> Size</w:t>
            </w:r>
          </w:p>
        </w:tc>
        <w:tc>
          <w:tcPr>
            <w:tcW w:w="2055" w:type="dxa"/>
          </w:tcPr>
          <w:p w14:paraId="16DDADDF" w14:textId="4DBA9C0E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Average </w:t>
            </w:r>
            <w:r w:rsidRPr="00B718EB">
              <w:rPr>
                <w:sz w:val="22"/>
                <w:szCs w:val="22"/>
              </w:rPr>
              <w:t>Prediction Accuracy Score</w:t>
            </w:r>
            <w:r>
              <w:rPr>
                <w:sz w:val="22"/>
                <w:szCs w:val="22"/>
              </w:rPr>
              <w:t xml:space="preserve"> (10 Iterations)</w:t>
            </w:r>
          </w:p>
        </w:tc>
        <w:tc>
          <w:tcPr>
            <w:tcW w:w="1890" w:type="dxa"/>
          </w:tcPr>
          <w:p w14:paraId="0BB0BA22" w14:textId="0958ECFE" w:rsidR="00090DD2" w:rsidRDefault="00E701CB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Average </w:t>
            </w:r>
            <w:r w:rsidR="00090DD2">
              <w:rPr>
                <w:sz w:val="22"/>
                <w:szCs w:val="22"/>
              </w:rPr>
              <w:t>Correct Predictions</w:t>
            </w:r>
          </w:p>
        </w:tc>
        <w:tc>
          <w:tcPr>
            <w:tcW w:w="1845" w:type="dxa"/>
          </w:tcPr>
          <w:p w14:paraId="0807DECB" w14:textId="0104720D" w:rsidR="00090DD2" w:rsidRDefault="00E701CB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Average </w:t>
            </w:r>
            <w:r w:rsidR="00090DD2">
              <w:rPr>
                <w:sz w:val="22"/>
                <w:szCs w:val="22"/>
              </w:rPr>
              <w:t>Wrong Predictions</w:t>
            </w:r>
          </w:p>
        </w:tc>
      </w:tr>
      <w:tr w:rsidR="00090DD2" w:rsidRPr="00B718EB" w14:paraId="46D98F10" w14:textId="30FAC838" w:rsidTr="00E701CB">
        <w:trPr>
          <w:trHeight w:val="327"/>
        </w:trPr>
        <w:tc>
          <w:tcPr>
            <w:tcW w:w="1108" w:type="dxa"/>
          </w:tcPr>
          <w:p w14:paraId="1D3412CA" w14:textId="018927F1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088" w:type="dxa"/>
          </w:tcPr>
          <w:p w14:paraId="05171132" w14:textId="54E62C08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964" w:type="dxa"/>
          </w:tcPr>
          <w:p w14:paraId="60FB5DAA" w14:textId="77777777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2055" w:type="dxa"/>
          </w:tcPr>
          <w:p w14:paraId="26452CEF" w14:textId="77777777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33.3%</w:t>
            </w:r>
          </w:p>
        </w:tc>
        <w:tc>
          <w:tcPr>
            <w:tcW w:w="1890" w:type="dxa"/>
          </w:tcPr>
          <w:p w14:paraId="043AC446" w14:textId="47D8D06A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845" w:type="dxa"/>
          </w:tcPr>
          <w:p w14:paraId="1FDFE835" w14:textId="0B4A3E99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090DD2" w:rsidRPr="00B718EB" w14:paraId="7C6AC440" w14:textId="6BDC0740" w:rsidTr="00E701CB">
        <w:trPr>
          <w:trHeight w:val="327"/>
        </w:trPr>
        <w:tc>
          <w:tcPr>
            <w:tcW w:w="1108" w:type="dxa"/>
          </w:tcPr>
          <w:p w14:paraId="2880DB30" w14:textId="05CDFA3B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088" w:type="dxa"/>
          </w:tcPr>
          <w:p w14:paraId="2352222B" w14:textId="71C187BA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964" w:type="dxa"/>
          </w:tcPr>
          <w:p w14:paraId="20F59ECB" w14:textId="5FC3571C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055" w:type="dxa"/>
          </w:tcPr>
          <w:p w14:paraId="09D99D0D" w14:textId="0EC9BECF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0.0%</w:t>
            </w:r>
          </w:p>
        </w:tc>
        <w:tc>
          <w:tcPr>
            <w:tcW w:w="1890" w:type="dxa"/>
          </w:tcPr>
          <w:p w14:paraId="55D01BBA" w14:textId="36A2EE5C" w:rsidR="00090DD2" w:rsidRDefault="00B30885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730F25D2" w14:textId="318F69C2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090DD2" w:rsidRPr="00B718EB" w14:paraId="1C9DACEA" w14:textId="272AE7FF" w:rsidTr="00E701CB">
        <w:trPr>
          <w:trHeight w:val="336"/>
        </w:trPr>
        <w:tc>
          <w:tcPr>
            <w:tcW w:w="1108" w:type="dxa"/>
          </w:tcPr>
          <w:p w14:paraId="3EE7E6F3" w14:textId="4A056D52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1088" w:type="dxa"/>
          </w:tcPr>
          <w:p w14:paraId="26F7C4DC" w14:textId="72659A93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964" w:type="dxa"/>
          </w:tcPr>
          <w:p w14:paraId="0A47FE46" w14:textId="1C6AA014" w:rsidR="00090DD2" w:rsidRPr="00B718EB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055" w:type="dxa"/>
          </w:tcPr>
          <w:p w14:paraId="06F26873" w14:textId="052FD055" w:rsidR="00090DD2" w:rsidRPr="00B718EB" w:rsidRDefault="00B30885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84.0</w:t>
            </w:r>
            <w:r w:rsidR="00090DD2">
              <w:rPr>
                <w:sz w:val="22"/>
                <w:szCs w:val="22"/>
              </w:rPr>
              <w:t>%</w:t>
            </w:r>
          </w:p>
        </w:tc>
        <w:tc>
          <w:tcPr>
            <w:tcW w:w="1890" w:type="dxa"/>
          </w:tcPr>
          <w:p w14:paraId="2EAEEA70" w14:textId="51F333AF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845" w:type="dxa"/>
          </w:tcPr>
          <w:p w14:paraId="3412DB1C" w14:textId="7A12B157" w:rsidR="00090DD2" w:rsidRDefault="00090DD2" w:rsidP="008F0C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14:paraId="305C7581" w14:textId="47A4ED34" w:rsidR="005640BC" w:rsidRDefault="008F0CD3" w:rsidP="00D21AD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With the C partition option, </w:t>
      </w:r>
      <w:r w:rsidR="005640BC">
        <w:rPr>
          <w:sz w:val="22"/>
          <w:szCs w:val="22"/>
        </w:rPr>
        <w:t xml:space="preserve">the size of the training set </w:t>
      </w:r>
      <w:r>
        <w:rPr>
          <w:sz w:val="22"/>
          <w:szCs w:val="22"/>
        </w:rPr>
        <w:t>being</w:t>
      </w:r>
      <w:r w:rsidR="005640BC">
        <w:rPr>
          <w:sz w:val="22"/>
          <w:szCs w:val="22"/>
        </w:rPr>
        <w:t xml:space="preserve"> 125 instances, the prediction accuracy score had </w:t>
      </w:r>
      <w:r w:rsidR="00AB2E00">
        <w:rPr>
          <w:sz w:val="22"/>
          <w:szCs w:val="22"/>
        </w:rPr>
        <w:t>some</w:t>
      </w:r>
      <w:r w:rsidR="005640BC">
        <w:rPr>
          <w:sz w:val="22"/>
          <w:szCs w:val="22"/>
        </w:rPr>
        <w:t xml:space="preserve"> variance</w:t>
      </w:r>
      <w:r w:rsidR="00AB2E00">
        <w:rPr>
          <w:sz w:val="22"/>
          <w:szCs w:val="22"/>
        </w:rPr>
        <w:t xml:space="preserve">, compared to the </w:t>
      </w:r>
      <w:r>
        <w:rPr>
          <w:sz w:val="22"/>
          <w:szCs w:val="22"/>
        </w:rPr>
        <w:t xml:space="preserve">B or A partitioning options. </w:t>
      </w:r>
      <w:r w:rsidR="005640BC">
        <w:rPr>
          <w:sz w:val="22"/>
          <w:szCs w:val="22"/>
        </w:rPr>
        <w:t>On</w:t>
      </w:r>
      <w:r>
        <w:rPr>
          <w:sz w:val="22"/>
          <w:szCs w:val="22"/>
        </w:rPr>
        <w:t xml:space="preserve"> most individual prediction runs;</w:t>
      </w:r>
      <w:r w:rsidR="005640BC">
        <w:rPr>
          <w:sz w:val="22"/>
          <w:szCs w:val="22"/>
        </w:rPr>
        <w:t xml:space="preserve"> the accuracy score came out </w:t>
      </w:r>
      <w:r>
        <w:rPr>
          <w:sz w:val="22"/>
          <w:szCs w:val="22"/>
        </w:rPr>
        <w:t xml:space="preserve">either </w:t>
      </w:r>
      <w:r w:rsidR="00B30885">
        <w:rPr>
          <w:sz w:val="22"/>
          <w:szCs w:val="22"/>
        </w:rPr>
        <w:t>80</w:t>
      </w:r>
      <w:r w:rsidR="005640BC">
        <w:rPr>
          <w:sz w:val="22"/>
          <w:szCs w:val="22"/>
        </w:rPr>
        <w:t xml:space="preserve">.0% </w:t>
      </w:r>
      <w:r>
        <w:rPr>
          <w:sz w:val="22"/>
          <w:szCs w:val="22"/>
        </w:rPr>
        <w:t>or</w:t>
      </w:r>
      <w:r w:rsidR="005640BC">
        <w:rPr>
          <w:sz w:val="22"/>
          <w:szCs w:val="22"/>
        </w:rPr>
        <w:t xml:space="preserve"> </w:t>
      </w:r>
      <w:r w:rsidR="00B30885">
        <w:rPr>
          <w:sz w:val="22"/>
          <w:szCs w:val="22"/>
        </w:rPr>
        <w:t>88</w:t>
      </w:r>
      <w:r w:rsidR="005640BC">
        <w:rPr>
          <w:sz w:val="22"/>
          <w:szCs w:val="22"/>
        </w:rPr>
        <w:t>.</w:t>
      </w:r>
      <w:r w:rsidR="00B30885">
        <w:rPr>
          <w:sz w:val="22"/>
          <w:szCs w:val="22"/>
        </w:rPr>
        <w:t>0</w:t>
      </w:r>
      <w:r w:rsidR="005640BC">
        <w:rPr>
          <w:sz w:val="22"/>
          <w:szCs w:val="22"/>
        </w:rPr>
        <w:t>%.</w:t>
      </w:r>
      <w:r w:rsidR="00AB2E00">
        <w:rPr>
          <w:sz w:val="22"/>
          <w:szCs w:val="22"/>
        </w:rPr>
        <w:t xml:space="preserve"> </w:t>
      </w:r>
      <w:r>
        <w:rPr>
          <w:sz w:val="22"/>
          <w:szCs w:val="22"/>
        </w:rPr>
        <w:t>Ultimately, t</w:t>
      </w:r>
      <w:r w:rsidR="005640BC">
        <w:rPr>
          <w:sz w:val="22"/>
          <w:szCs w:val="22"/>
        </w:rPr>
        <w:t>his could have been because of the way in which the dataset was partitioned with almost 83% being the training set, and only about 17% being the test set.</w:t>
      </w:r>
      <w:r w:rsidR="001C3B7A">
        <w:rPr>
          <w:sz w:val="22"/>
          <w:szCs w:val="22"/>
        </w:rPr>
        <w:t xml:space="preserve"> </w:t>
      </w:r>
      <w:r w:rsidR="00E701CB">
        <w:rPr>
          <w:sz w:val="22"/>
          <w:szCs w:val="22"/>
        </w:rPr>
        <w:t xml:space="preserve">Out of 5 times, the prediction percentage for the C partition option, 3 times were 80.0% and the rest 2 times were 88.0%. </w:t>
      </w:r>
    </w:p>
    <w:p w14:paraId="775C946E" w14:textId="77777777" w:rsidR="005640BC" w:rsidRDefault="005640BC" w:rsidP="00D21ADB">
      <w:pPr>
        <w:spacing w:line="276" w:lineRule="auto"/>
        <w:rPr>
          <w:sz w:val="22"/>
          <w:szCs w:val="22"/>
        </w:rPr>
      </w:pPr>
    </w:p>
    <w:p w14:paraId="5122A8A5" w14:textId="727F87D6" w:rsidR="005640BC" w:rsidRDefault="005A1FC6" w:rsidP="00E04EC8">
      <w:r w:rsidRPr="00090DD2">
        <w:rPr>
          <w:b/>
          <w:bCs/>
        </w:rPr>
        <w:t>2.4.</w:t>
      </w:r>
      <w:r>
        <w:t xml:space="preserve"> </w:t>
      </w:r>
      <w:r w:rsidR="00920F0E">
        <w:t xml:space="preserve">Some splits affect the prediction accuracy score in a stronger manner is because of the amount of data the model gets to train with. More data indicates a larger, but also a more balanced decision tree. This is because the model has been exposed to </w:t>
      </w:r>
      <w:r w:rsidR="00AB2E00">
        <w:t>a truer</w:t>
      </w:r>
      <w:r w:rsidR="00920F0E">
        <w:t xml:space="preserve"> representation of the dataset and so, it can make more accurate predictions</w:t>
      </w:r>
      <w:r w:rsidR="00AB2E00">
        <w:t xml:space="preserve"> on unfamiliar or unseen data</w:t>
      </w:r>
      <w:r w:rsidR="00920F0E">
        <w:t xml:space="preserve">. </w:t>
      </w:r>
      <w:r w:rsidR="001C3B7A">
        <w:t xml:space="preserve">Minor changes in the size of the training set can drastically affect the accuracy of the predictions. </w:t>
      </w:r>
      <w:r w:rsidR="00920F0E">
        <w:t xml:space="preserve">Since this is not a binary classification but a </w:t>
      </w:r>
      <w:r w:rsidR="00AB2E00">
        <w:t>ternary</w:t>
      </w:r>
      <w:r w:rsidR="00920F0E">
        <w:t xml:space="preserve"> classification of Iris plants, the increase in complexity calls for a more diverse dataset for training</w:t>
      </w:r>
      <w:r w:rsidR="00AB2E00">
        <w:t xml:space="preserve">. </w:t>
      </w:r>
      <w:r w:rsidR="001C3B7A">
        <w:t xml:space="preserve">In this assignment, because the classes of the dataset were sequentially listed, lower partitions which indicate </w:t>
      </w:r>
      <w:r w:rsidR="00AB2E00">
        <w:t>smaller training datasets</w:t>
      </w:r>
      <w:r w:rsidR="001C3B7A">
        <w:t>,</w:t>
      </w:r>
      <w:r w:rsidR="00AB2E00">
        <w:t xml:space="preserve"> would have only 1 or 2 target labels, but a larger dataset can have all the target labels of the dataset, so it would result in a higher accuracy score with repeated training and predictions.</w:t>
      </w:r>
    </w:p>
    <w:p w14:paraId="5F26106F" w14:textId="77777777" w:rsidR="003D596F" w:rsidRDefault="003D596F" w:rsidP="00E04EC8"/>
    <w:p w14:paraId="17E5EAC3" w14:textId="77777777" w:rsidR="003D596F" w:rsidRPr="00992AA0" w:rsidRDefault="003D596F" w:rsidP="00E04EC8">
      <w:pPr>
        <w:rPr>
          <w:sz w:val="18"/>
          <w:szCs w:val="18"/>
        </w:rPr>
      </w:pPr>
    </w:p>
    <w:p w14:paraId="4D4E60CF" w14:textId="5F335AAC" w:rsidR="003D596F" w:rsidRDefault="003D596F" w:rsidP="00E04EC8">
      <w:r>
        <w:t>Output Images</w:t>
      </w:r>
    </w:p>
    <w:p w14:paraId="4FB4E32A" w14:textId="77777777" w:rsidR="00992AA0" w:rsidRPr="00992AA0" w:rsidRDefault="00992AA0" w:rsidP="00E04EC8">
      <w:pPr>
        <w:rPr>
          <w:sz w:val="15"/>
          <w:szCs w:val="15"/>
        </w:rPr>
      </w:pPr>
    </w:p>
    <w:p w14:paraId="066DC03F" w14:textId="53D25CC6" w:rsidR="003D596F" w:rsidRDefault="00E701CB" w:rsidP="00E04EC8">
      <w:r w:rsidRPr="00E701CB">
        <w:drawing>
          <wp:anchor distT="0" distB="0" distL="114300" distR="114300" simplePos="0" relativeHeight="251661312" behindDoc="1" locked="0" layoutInCell="1" allowOverlap="1" wp14:anchorId="483DFD15" wp14:editId="739FB84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204101" cy="1001864"/>
            <wp:effectExtent l="0" t="0" r="0" b="1905"/>
            <wp:wrapTight wrapText="bothSides">
              <wp:wrapPolygon edited="0">
                <wp:start x="0" y="0"/>
                <wp:lineTo x="0" y="21367"/>
                <wp:lineTo x="21407" y="21367"/>
                <wp:lineTo x="21407" y="0"/>
                <wp:lineTo x="0" y="0"/>
              </wp:wrapPolygon>
            </wp:wrapTight>
            <wp:docPr id="16409913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1340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101" cy="1001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BFC41" w14:textId="77777777" w:rsidR="00E701CB" w:rsidRDefault="00E701CB" w:rsidP="00E04EC8"/>
    <w:p w14:paraId="3EE60BCF" w14:textId="67B11F53" w:rsidR="00E701CB" w:rsidRDefault="00E701CB" w:rsidP="00E04EC8"/>
    <w:p w14:paraId="3AB4E3E3" w14:textId="520FB779" w:rsidR="00E701CB" w:rsidRDefault="00E701CB" w:rsidP="00E04EC8"/>
    <w:p w14:paraId="6F3E19A8" w14:textId="3E04F2B6" w:rsidR="00E701CB" w:rsidRDefault="00E701CB" w:rsidP="00E04EC8"/>
    <w:p w14:paraId="7E14DDE6" w14:textId="5EDFFAD2" w:rsidR="003D596F" w:rsidRPr="00B718EB" w:rsidRDefault="00E701CB" w:rsidP="00E04EC8">
      <w:r w:rsidRPr="00E701CB">
        <w:drawing>
          <wp:anchor distT="0" distB="0" distL="114300" distR="114300" simplePos="0" relativeHeight="251662336" behindDoc="1" locked="0" layoutInCell="1" allowOverlap="1" wp14:anchorId="50CAF772" wp14:editId="1310203A">
            <wp:simplePos x="0" y="0"/>
            <wp:positionH relativeFrom="column">
              <wp:posOffset>2586079</wp:posOffset>
            </wp:positionH>
            <wp:positionV relativeFrom="paragraph">
              <wp:posOffset>1879798</wp:posOffset>
            </wp:positionV>
            <wp:extent cx="2203704" cy="1005840"/>
            <wp:effectExtent l="0" t="0" r="635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9066816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8167" name="Picture 1" descr="A blu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1CB">
        <w:drawing>
          <wp:anchor distT="0" distB="0" distL="114300" distR="114300" simplePos="0" relativeHeight="251660288" behindDoc="1" locked="0" layoutInCell="1" allowOverlap="1" wp14:anchorId="622BB718" wp14:editId="1525D605">
            <wp:simplePos x="0" y="0"/>
            <wp:positionH relativeFrom="column">
              <wp:posOffset>0</wp:posOffset>
            </wp:positionH>
            <wp:positionV relativeFrom="paragraph">
              <wp:posOffset>333706</wp:posOffset>
            </wp:positionV>
            <wp:extent cx="2204085" cy="1039495"/>
            <wp:effectExtent l="0" t="0" r="5715" b="1905"/>
            <wp:wrapTight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ight>
            <wp:docPr id="16626812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1254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1CB">
        <w:drawing>
          <wp:anchor distT="0" distB="0" distL="114300" distR="114300" simplePos="0" relativeHeight="251659264" behindDoc="1" locked="0" layoutInCell="1" allowOverlap="1" wp14:anchorId="4E65D42A" wp14:editId="395E788F">
            <wp:simplePos x="0" y="0"/>
            <wp:positionH relativeFrom="column">
              <wp:posOffset>635</wp:posOffset>
            </wp:positionH>
            <wp:positionV relativeFrom="paragraph">
              <wp:posOffset>1876949</wp:posOffset>
            </wp:positionV>
            <wp:extent cx="2203704" cy="1005840"/>
            <wp:effectExtent l="0" t="0" r="635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10788153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5325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596F" w:rsidRPr="00B7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DB"/>
    <w:rsid w:val="00090DD2"/>
    <w:rsid w:val="00176025"/>
    <w:rsid w:val="001B47DF"/>
    <w:rsid w:val="001C3B7A"/>
    <w:rsid w:val="00240E5E"/>
    <w:rsid w:val="00267241"/>
    <w:rsid w:val="003D596F"/>
    <w:rsid w:val="00421CBB"/>
    <w:rsid w:val="005640BC"/>
    <w:rsid w:val="005A1FC6"/>
    <w:rsid w:val="008F0CD3"/>
    <w:rsid w:val="00920F0E"/>
    <w:rsid w:val="00973A88"/>
    <w:rsid w:val="00992AA0"/>
    <w:rsid w:val="00A25D33"/>
    <w:rsid w:val="00A70FC9"/>
    <w:rsid w:val="00AB2E00"/>
    <w:rsid w:val="00B00827"/>
    <w:rsid w:val="00B30885"/>
    <w:rsid w:val="00B718EB"/>
    <w:rsid w:val="00D21ADB"/>
    <w:rsid w:val="00DC35AF"/>
    <w:rsid w:val="00E04EC8"/>
    <w:rsid w:val="00E7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053"/>
  <w15:chartTrackingRefBased/>
  <w15:docId w15:val="{8725B0AF-9E03-2945-A763-7180ACF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1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Dhruv</dc:creator>
  <cp:keywords/>
  <dc:description/>
  <cp:lastModifiedBy>Shrivastava, Dhruv</cp:lastModifiedBy>
  <cp:revision>8</cp:revision>
  <dcterms:created xsi:type="dcterms:W3CDTF">2024-09-12T20:16:00Z</dcterms:created>
  <dcterms:modified xsi:type="dcterms:W3CDTF">2024-09-13T21:27:00Z</dcterms:modified>
</cp:coreProperties>
</file>