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C337" w14:textId="1DFD9B2E" w:rsidR="005E6F6B" w:rsidRPr="00C53047" w:rsidRDefault="005E6F6B">
      <w:pPr>
        <w:rPr>
          <w:b/>
        </w:rPr>
      </w:pPr>
      <w:r w:rsidRPr="00C53047">
        <w:rPr>
          <w:b/>
        </w:rPr>
        <w:t>To: Ta-Tanisha</w:t>
      </w:r>
      <w:r w:rsidR="003E5D3E" w:rsidRPr="00C53047">
        <w:rPr>
          <w:b/>
        </w:rPr>
        <w:t xml:space="preserve"> Wallace</w:t>
      </w:r>
    </w:p>
    <w:p w14:paraId="3B7F7E3D" w14:textId="7B9020CA" w:rsidR="005E6F6B" w:rsidRPr="00C53047" w:rsidRDefault="003E5D3E">
      <w:pPr>
        <w:rPr>
          <w:b/>
        </w:rPr>
      </w:pPr>
      <w:r w:rsidRPr="00C53047">
        <w:rPr>
          <w:b/>
        </w:rPr>
        <w:t>From: Dhruv Singh</w:t>
      </w:r>
    </w:p>
    <w:p w14:paraId="458AF9E6" w14:textId="7B3CCCF4" w:rsidR="005E6F6B" w:rsidRPr="00C53047" w:rsidRDefault="00EA76A6">
      <w:pPr>
        <w:rPr>
          <w:b/>
        </w:rPr>
      </w:pPr>
      <w:r w:rsidRPr="00C53047">
        <w:rPr>
          <w:b/>
        </w:rPr>
        <w:t>Date: 10/8/2021</w:t>
      </w:r>
    </w:p>
    <w:p w14:paraId="668FA7AC" w14:textId="79797AD0" w:rsidR="00EA76A6" w:rsidRPr="00C53047" w:rsidRDefault="00EA76A6">
      <w:pPr>
        <w:rPr>
          <w:b/>
        </w:rPr>
      </w:pPr>
      <w:r w:rsidRPr="00C53047">
        <w:rPr>
          <w:b/>
        </w:rPr>
        <w:t>Subject: Data Discrepancies</w:t>
      </w:r>
    </w:p>
    <w:p w14:paraId="071ADA18" w14:textId="0C51324E" w:rsidR="006D0D7F" w:rsidRPr="00C53047" w:rsidRDefault="002B49B9">
      <w:pPr>
        <w:rPr>
          <w:b/>
          <w:bCs/>
          <w:u w:val="single"/>
        </w:rPr>
      </w:pPr>
      <w:r w:rsidRPr="00C53047">
        <w:rPr>
          <w:b/>
          <w:bCs/>
          <w:u w:val="single"/>
        </w:rPr>
        <w:t>Context</w:t>
      </w:r>
      <w:r w:rsidR="006D0D7F" w:rsidRPr="00C53047">
        <w:rPr>
          <w:b/>
          <w:bCs/>
          <w:u w:val="single"/>
        </w:rPr>
        <w:t xml:space="preserve">: </w:t>
      </w:r>
    </w:p>
    <w:p w14:paraId="66078CCA" w14:textId="59DA23AA" w:rsidR="003125C8" w:rsidRDefault="008E0D09">
      <w:r>
        <w:t xml:space="preserve">Due to the various sources of data used to track </w:t>
      </w:r>
      <w:r w:rsidR="00110F96">
        <w:t>DOES</w:t>
      </w:r>
      <w:r>
        <w:t xml:space="preserve">’s programmatic performance, </w:t>
      </w:r>
      <w:r w:rsidR="003125C8">
        <w:t xml:space="preserve">having a unified quality control system has been difficult. As part of the ongoing effort to get </w:t>
      </w:r>
      <w:proofErr w:type="spellStart"/>
      <w:r w:rsidR="003125C8">
        <w:t>DataWorks</w:t>
      </w:r>
      <w:proofErr w:type="spellEnd"/>
      <w:r w:rsidR="003125C8">
        <w:t xml:space="preserve"> built and rolled out, I would like to point out some ‘data discrepancies’ I came across in DC Networks. </w:t>
      </w:r>
    </w:p>
    <w:p w14:paraId="775E7826" w14:textId="7E343E2A" w:rsidR="00490296" w:rsidRDefault="003125C8">
      <w:r>
        <w:t xml:space="preserve">Specifically, the data </w:t>
      </w:r>
      <w:r w:rsidR="00212F32">
        <w:t xml:space="preserve">I have </w:t>
      </w:r>
      <w:r>
        <w:t xml:space="preserve">used to identify these errors is the Maryland Custom Report. The Maryland Custom Report pulls from our most up to date </w:t>
      </w:r>
      <w:r w:rsidR="00866B09">
        <w:t>data and</w:t>
      </w:r>
      <w:r>
        <w:t xml:space="preserve"> provides one of the most </w:t>
      </w:r>
      <w:r w:rsidR="00212F32">
        <w:t>comprehensive</w:t>
      </w:r>
      <w:r>
        <w:t xml:space="preserve"> source</w:t>
      </w:r>
      <w:r w:rsidR="005E6008">
        <w:t>s</w:t>
      </w:r>
      <w:r>
        <w:t xml:space="preserve"> of truth for the agency’s programmatic performance. </w:t>
      </w:r>
      <w:r w:rsidR="00E40ECB">
        <w:t>The timeframe for which I looked at data is the past ten years</w:t>
      </w:r>
      <w:r w:rsidR="00BD0185">
        <w:t xml:space="preserve"> (2011-2021)</w:t>
      </w:r>
      <w:r w:rsidR="00E40ECB">
        <w:t xml:space="preserve">. </w:t>
      </w:r>
    </w:p>
    <w:p w14:paraId="4C50162C" w14:textId="4E94BCBA" w:rsidR="003E4B10" w:rsidRDefault="00C55890">
      <w:r w:rsidRPr="00B95602">
        <w:rPr>
          <w:b/>
          <w:bCs/>
          <w:u w:val="single"/>
        </w:rPr>
        <w:t>Objective:</w:t>
      </w:r>
      <w:r>
        <w:t xml:space="preserve"> Ideally, to remedy historical education data. </w:t>
      </w:r>
    </w:p>
    <w:p w14:paraId="1DFF7703" w14:textId="04905583" w:rsidR="00C55890" w:rsidRDefault="00C55890" w:rsidP="003E4B10">
      <w:pPr>
        <w:pStyle w:val="ListParagraph"/>
        <w:numPr>
          <w:ilvl w:val="0"/>
          <w:numId w:val="3"/>
        </w:numPr>
      </w:pPr>
      <w:r>
        <w:t xml:space="preserve">To have people </w:t>
      </w:r>
      <w:proofErr w:type="gramStart"/>
      <w:r>
        <w:t>look into</w:t>
      </w:r>
      <w:proofErr w:type="gramEnd"/>
      <w:r>
        <w:t xml:space="preserve"> historical education records used to produce the CASAS data in DC Networks, and to overwrite it. </w:t>
      </w:r>
    </w:p>
    <w:p w14:paraId="302D2608" w14:textId="5B9E0A2D" w:rsidR="003832AE" w:rsidRDefault="00847E29" w:rsidP="003E4B10">
      <w:pPr>
        <w:pStyle w:val="ListParagraph"/>
        <w:numPr>
          <w:ilvl w:val="0"/>
          <w:numId w:val="3"/>
        </w:numPr>
      </w:pPr>
      <w:r>
        <w:t xml:space="preserve">To standardize Wagner </w:t>
      </w:r>
      <w:proofErr w:type="spellStart"/>
      <w:r>
        <w:t>Peyser</w:t>
      </w:r>
      <w:proofErr w:type="spellEnd"/>
      <w:r>
        <w:t xml:space="preserve"> education levels </w:t>
      </w:r>
      <w:proofErr w:type="gramStart"/>
      <w:r>
        <w:t>entered into</w:t>
      </w:r>
      <w:proofErr w:type="gramEnd"/>
      <w:r>
        <w:t xml:space="preserve"> DC Networks</w:t>
      </w:r>
    </w:p>
    <w:p w14:paraId="0826FA29" w14:textId="2C264633" w:rsidR="004E2667" w:rsidRDefault="00490296">
      <w:r w:rsidRPr="001A7302">
        <w:rPr>
          <w:b/>
          <w:bCs/>
          <w:u w:val="single"/>
        </w:rPr>
        <w:t>Case:</w:t>
      </w:r>
      <w:r w:rsidR="004E2667">
        <w:t xml:space="preserve"> A lot of </w:t>
      </w:r>
      <w:r w:rsidR="00722A11">
        <w:t>DOES</w:t>
      </w:r>
      <w:r w:rsidR="004E2667">
        <w:t>’s program enrollment decision are based on customers’ CASAS scores. Therefore, it is imperative to audit the CASAS data for historical consistency</w:t>
      </w:r>
      <w:r w:rsidR="002F2978">
        <w:t xml:space="preserve"> as part of a larger drive towards data integration. </w:t>
      </w:r>
    </w:p>
    <w:p w14:paraId="28B26D8F" w14:textId="77777777" w:rsidR="008E2F0D" w:rsidRPr="00CE047F" w:rsidRDefault="006B1362">
      <w:pPr>
        <w:rPr>
          <w:b/>
          <w:bCs/>
          <w:u w:val="single"/>
        </w:rPr>
      </w:pPr>
      <w:r w:rsidRPr="00CE047F">
        <w:rPr>
          <w:b/>
          <w:bCs/>
          <w:u w:val="single"/>
        </w:rPr>
        <w:t>Summary</w:t>
      </w:r>
      <w:r w:rsidR="009E19CF" w:rsidRPr="00CE047F">
        <w:rPr>
          <w:b/>
          <w:bCs/>
          <w:u w:val="single"/>
        </w:rPr>
        <w:t>:</w:t>
      </w:r>
      <w:r w:rsidR="00210797" w:rsidRPr="00CE047F">
        <w:rPr>
          <w:b/>
          <w:bCs/>
          <w:u w:val="single"/>
        </w:rPr>
        <w:t xml:space="preserve"> </w:t>
      </w:r>
    </w:p>
    <w:p w14:paraId="2C0CD599" w14:textId="6021D34D" w:rsidR="00C313D1" w:rsidRDefault="00210797">
      <w:r>
        <w:t>T</w:t>
      </w:r>
      <w:r w:rsidR="00C313D1">
        <w:t>hree types of errors identified</w:t>
      </w:r>
      <w:r w:rsidR="008E2F0D">
        <w:t>:</w:t>
      </w:r>
    </w:p>
    <w:p w14:paraId="12126BEE" w14:textId="6CEB8514" w:rsidR="00C313D1" w:rsidRDefault="003959B9" w:rsidP="00C313D1">
      <w:pPr>
        <w:pStyle w:val="ListParagraph"/>
        <w:numPr>
          <w:ilvl w:val="0"/>
          <w:numId w:val="2"/>
        </w:numPr>
      </w:pPr>
      <w:r>
        <w:t>Dates: End Date preceding Begin Date – 3 count, trivial</w:t>
      </w:r>
    </w:p>
    <w:p w14:paraId="62679088" w14:textId="77777777" w:rsidR="00D61235" w:rsidRDefault="00061EC2" w:rsidP="00C313D1">
      <w:pPr>
        <w:pStyle w:val="ListParagraph"/>
        <w:numPr>
          <w:ilvl w:val="0"/>
          <w:numId w:val="2"/>
        </w:numPr>
      </w:pPr>
      <w:r>
        <w:t>Education Metrics (CASAS)</w:t>
      </w:r>
      <w:r w:rsidR="00B172F8">
        <w:t>:</w:t>
      </w:r>
      <w:r>
        <w:t xml:space="preserve"> </w:t>
      </w:r>
      <w:r w:rsidR="00C8667B">
        <w:t>The same column contains data entered on 3 separate scales</w:t>
      </w:r>
      <w:r w:rsidR="00D61235">
        <w:t xml:space="preserve"> </w:t>
      </w:r>
    </w:p>
    <w:p w14:paraId="70326872" w14:textId="77777777" w:rsidR="003A63D2" w:rsidRDefault="00B172F8" w:rsidP="00D61235">
      <w:pPr>
        <w:pStyle w:val="ListParagraph"/>
        <w:numPr>
          <w:ilvl w:val="1"/>
          <w:numId w:val="2"/>
        </w:numPr>
      </w:pPr>
      <w:r>
        <w:t>Raw scores</w:t>
      </w:r>
      <w:r w:rsidR="000F2EB7">
        <w:t xml:space="preserve"> (</w:t>
      </w:r>
      <w:proofErr w:type="spellStart"/>
      <w:r w:rsidR="000F2EB7">
        <w:t>eg</w:t>
      </w:r>
      <w:proofErr w:type="spellEnd"/>
      <w:r w:rsidR="000F2EB7">
        <w:t>: 300, 400)</w:t>
      </w:r>
      <w:r>
        <w:t xml:space="preserve">, </w:t>
      </w:r>
    </w:p>
    <w:p w14:paraId="507DBFBC" w14:textId="77777777" w:rsidR="003A63D2" w:rsidRDefault="00B172F8" w:rsidP="00D61235">
      <w:pPr>
        <w:pStyle w:val="ListParagraph"/>
        <w:numPr>
          <w:ilvl w:val="1"/>
          <w:numId w:val="2"/>
        </w:numPr>
      </w:pPr>
      <w:r>
        <w:t>Numbered Grade Categories</w:t>
      </w:r>
      <w:r w:rsidR="000F2EB7">
        <w:t xml:space="preserve"> (</w:t>
      </w:r>
      <w:proofErr w:type="spellStart"/>
      <w:r w:rsidR="000F2EB7">
        <w:t>eg</w:t>
      </w:r>
      <w:proofErr w:type="spellEnd"/>
      <w:r w:rsidR="000F2EB7">
        <w:t>: 3, 4)</w:t>
      </w:r>
      <w:r>
        <w:t xml:space="preserve">, and </w:t>
      </w:r>
    </w:p>
    <w:p w14:paraId="225D4A40" w14:textId="58DDCFE7" w:rsidR="000D41AE" w:rsidRDefault="00B172F8" w:rsidP="00D61235">
      <w:pPr>
        <w:pStyle w:val="ListParagraph"/>
        <w:numPr>
          <w:ilvl w:val="1"/>
          <w:numId w:val="2"/>
        </w:numPr>
      </w:pPr>
      <w:r>
        <w:t>Text Grade</w:t>
      </w:r>
      <w:r w:rsidR="00006BA6">
        <w:t xml:space="preserve"> Values</w:t>
      </w:r>
      <w:r w:rsidR="00E170CE">
        <w:t xml:space="preserve"> (</w:t>
      </w:r>
      <w:proofErr w:type="spellStart"/>
      <w:r w:rsidR="00E170CE">
        <w:t>eg.</w:t>
      </w:r>
      <w:proofErr w:type="spellEnd"/>
      <w:r w:rsidR="00E170CE">
        <w:t xml:space="preserve"> 3</w:t>
      </w:r>
      <w:r w:rsidR="00E170CE" w:rsidRPr="00E170CE">
        <w:rPr>
          <w:vertAlign w:val="superscript"/>
        </w:rPr>
        <w:t>rd</w:t>
      </w:r>
      <w:r w:rsidR="00E170CE">
        <w:t>, 4</w:t>
      </w:r>
      <w:r w:rsidR="00E170CE" w:rsidRPr="00E170CE">
        <w:rPr>
          <w:vertAlign w:val="superscript"/>
        </w:rPr>
        <w:t>th</w:t>
      </w:r>
      <w:r w:rsidR="00E170CE">
        <w:t>)</w:t>
      </w:r>
    </w:p>
    <w:p w14:paraId="3DBDC6CC" w14:textId="77777777" w:rsidR="00660FCC" w:rsidRDefault="00213348" w:rsidP="00CA7803">
      <w:pPr>
        <w:pStyle w:val="ListParagraph"/>
        <w:numPr>
          <w:ilvl w:val="0"/>
          <w:numId w:val="2"/>
        </w:numPr>
      </w:pPr>
      <w:r>
        <w:t xml:space="preserve">Wagner </w:t>
      </w:r>
      <w:proofErr w:type="spellStart"/>
      <w:r>
        <w:t>Peyser</w:t>
      </w:r>
      <w:proofErr w:type="spellEnd"/>
      <w:r>
        <w:t xml:space="preserve"> Education Level</w:t>
      </w:r>
      <w:r w:rsidR="002B49B9">
        <w:t xml:space="preserve">: </w:t>
      </w:r>
      <w:r w:rsidR="00D91EDA">
        <w:t>Unordered categories, categories not listed in data dictionary</w:t>
      </w:r>
    </w:p>
    <w:p w14:paraId="0AD15172" w14:textId="4D4DE073" w:rsidR="00152A59" w:rsidRDefault="004D36D0" w:rsidP="00152A59">
      <w:pPr>
        <w:pStyle w:val="ListParagraph"/>
        <w:numPr>
          <w:ilvl w:val="1"/>
          <w:numId w:val="2"/>
        </w:numPr>
      </w:pPr>
      <w:r>
        <w:t>t</w:t>
      </w:r>
      <w:r w:rsidR="002B49B9">
        <w:t xml:space="preserve">hese categories </w:t>
      </w:r>
      <w:r w:rsidR="009964FC">
        <w:t xml:space="preserve">could be ordered in a more meaningful way, </w:t>
      </w:r>
      <w:proofErr w:type="spellStart"/>
      <w:r w:rsidR="009964FC">
        <w:t>eg</w:t>
      </w:r>
      <w:proofErr w:type="spellEnd"/>
      <w:r w:rsidR="009964FC">
        <w:t>: ‘16’ -&gt; bachelors, and ‘91’ -&gt; associates</w:t>
      </w:r>
    </w:p>
    <w:p w14:paraId="48B474DA" w14:textId="25961C88" w:rsidR="00457F7F" w:rsidRDefault="00457F7F" w:rsidP="00152A59">
      <w:pPr>
        <w:pStyle w:val="ListParagraph"/>
        <w:numPr>
          <w:ilvl w:val="1"/>
          <w:numId w:val="2"/>
        </w:numPr>
      </w:pPr>
      <w:r>
        <w:t>T</w:t>
      </w:r>
      <w:r w:rsidR="009964FC">
        <w:t>here are categories in the data that do not appear in the data dictionary</w:t>
      </w:r>
      <w:r>
        <w:t>.</w:t>
      </w:r>
    </w:p>
    <w:p w14:paraId="266E8CD1" w14:textId="11412215" w:rsidR="00B172F8" w:rsidRDefault="002B49B9" w:rsidP="00457F7F">
      <w:r>
        <w:t xml:space="preserve"> </w:t>
      </w:r>
    </w:p>
    <w:p w14:paraId="0AC54325" w14:textId="4CAD88CE" w:rsidR="00A464EC" w:rsidRDefault="00A464EC" w:rsidP="00457F7F"/>
    <w:p w14:paraId="386620AD" w14:textId="41005E85" w:rsidR="00A464EC" w:rsidRDefault="00A464EC" w:rsidP="00457F7F"/>
    <w:p w14:paraId="4636EDB5" w14:textId="77777777" w:rsidR="00A464EC" w:rsidRDefault="00A464EC" w:rsidP="00457F7F"/>
    <w:p w14:paraId="258D3360" w14:textId="51CD823E" w:rsidR="005E6F6B" w:rsidRPr="00422000" w:rsidRDefault="00827A50">
      <w:pPr>
        <w:rPr>
          <w:b/>
          <w:bCs/>
          <w:u w:val="single"/>
        </w:rPr>
      </w:pPr>
      <w:r w:rsidRPr="00422000">
        <w:rPr>
          <w:b/>
          <w:bCs/>
          <w:u w:val="single"/>
        </w:rPr>
        <w:lastRenderedPageBreak/>
        <w:t>Appendix A</w:t>
      </w:r>
      <w:r w:rsidR="00517272" w:rsidRPr="00422000">
        <w:rPr>
          <w:b/>
          <w:bCs/>
          <w:u w:val="single"/>
        </w:rPr>
        <w:t xml:space="preserve">: </w:t>
      </w:r>
    </w:p>
    <w:p w14:paraId="00656D30" w14:textId="6A782359" w:rsidR="008D6861" w:rsidRDefault="008D6861">
      <w:r w:rsidRPr="006C2C2E">
        <w:rPr>
          <w:b/>
          <w:bCs/>
          <w:u w:val="single"/>
        </w:rPr>
        <w:t>Problem I:</w:t>
      </w:r>
      <w:r w:rsidR="00E57765">
        <w:t xml:space="preserve"> End Date &lt; Begin Date (3 counts)</w:t>
      </w:r>
    </w:p>
    <w:p w14:paraId="763213C7" w14:textId="28238E99" w:rsidR="00825401" w:rsidRDefault="00196C6A">
      <w:r w:rsidRPr="009F15B0">
        <w:rPr>
          <w:b/>
          <w:bCs/>
          <w:u w:val="single"/>
        </w:rPr>
        <w:t>De</w:t>
      </w:r>
      <w:r w:rsidR="0045611C" w:rsidRPr="009F15B0">
        <w:rPr>
          <w:b/>
          <w:bCs/>
          <w:u w:val="single"/>
        </w:rPr>
        <w:t>s</w:t>
      </w:r>
      <w:r w:rsidRPr="009F15B0">
        <w:rPr>
          <w:b/>
          <w:bCs/>
          <w:u w:val="single"/>
        </w:rPr>
        <w:t>cription:</w:t>
      </w:r>
      <w:r w:rsidR="003B6265">
        <w:t xml:space="preserve"> </w:t>
      </w:r>
      <w:r w:rsidR="00967A2E">
        <w:t xml:space="preserve">The first, and most trivial issue is </w:t>
      </w:r>
      <w:r w:rsidR="002E1058">
        <w:t xml:space="preserve">that there are 3 occurrences of end date preceding begin date. </w:t>
      </w:r>
      <w:r w:rsidR="00825401">
        <w:t xml:space="preserve">The 3 dates and </w:t>
      </w:r>
      <w:proofErr w:type="spellStart"/>
      <w:r w:rsidR="00825401">
        <w:t>StateId’s</w:t>
      </w:r>
      <w:proofErr w:type="spellEnd"/>
      <w:r w:rsidR="00825401">
        <w:t xml:space="preserve"> for which this error occurs are highlighted in yellow below.</w:t>
      </w:r>
    </w:p>
    <w:p w14:paraId="5C12E1E4" w14:textId="11A1F01B" w:rsidR="007B22D9" w:rsidRDefault="00C96116">
      <w:r w:rsidRPr="00014F8D">
        <w:rPr>
          <w:b/>
          <w:bCs/>
          <w:u w:val="single"/>
        </w:rPr>
        <w:t>Why it is a problem:</w:t>
      </w:r>
      <w:r>
        <w:t xml:space="preserve"> </w:t>
      </w:r>
      <w:r w:rsidR="007B22D9">
        <w:t xml:space="preserve">This presents a logical </w:t>
      </w:r>
      <w:r w:rsidR="000E61A8">
        <w:t>inconsistency and</w:t>
      </w:r>
      <w:r w:rsidR="007B22D9">
        <w:t xml:space="preserve"> presents an error when measuring a customer’s time to completion.</w:t>
      </w:r>
    </w:p>
    <w:p w14:paraId="4A6636CA" w14:textId="668E4AA4" w:rsidR="007B4FDB" w:rsidRDefault="007B4FDB">
      <w:r w:rsidRPr="00950E57">
        <w:rPr>
          <w:b/>
          <w:bCs/>
          <w:u w:val="single"/>
        </w:rPr>
        <w:t>Suggested fix:</w:t>
      </w:r>
      <w:r>
        <w:t xml:space="preserve"> </w:t>
      </w:r>
      <w:r w:rsidR="00265D54">
        <w:t xml:space="preserve">A lot of programs start and end on the same day (according to the data). Accordingly, pick either the start date or end date for the 3 rows, and set that to both begin and end date. </w:t>
      </w:r>
      <w:r w:rsidR="00BE3BF7">
        <w:t xml:space="preserve">Possibly look at the other dates for that customer if there are </w:t>
      </w:r>
      <w:r w:rsidR="000E61A8">
        <w:t>any and</w:t>
      </w:r>
      <w:r w:rsidR="00BE3BF7">
        <w:t xml:space="preserve"> base your decision on that. </w:t>
      </w:r>
    </w:p>
    <w:p w14:paraId="34E76065" w14:textId="77777777" w:rsidR="009A10B9" w:rsidRDefault="009A10B9"/>
    <w:p w14:paraId="1BD27A09" w14:textId="5D1FC4FB" w:rsidR="00A57D3A" w:rsidRDefault="0082540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4FBBB6" wp14:editId="613F4B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241B" w14:textId="77777777" w:rsidR="00A57D3A" w:rsidRDefault="00A57D3A">
      <w:pPr>
        <w:rPr>
          <w:b/>
          <w:bCs/>
          <w:u w:val="single"/>
        </w:rPr>
      </w:pPr>
    </w:p>
    <w:p w14:paraId="0634BD39" w14:textId="77777777" w:rsidR="00A57D3A" w:rsidRDefault="00A57D3A">
      <w:pPr>
        <w:rPr>
          <w:b/>
          <w:bCs/>
          <w:u w:val="single"/>
        </w:rPr>
      </w:pPr>
    </w:p>
    <w:p w14:paraId="6DA2A8B5" w14:textId="77777777" w:rsidR="00A57D3A" w:rsidRDefault="00A57D3A">
      <w:pPr>
        <w:rPr>
          <w:b/>
          <w:bCs/>
          <w:u w:val="single"/>
        </w:rPr>
      </w:pPr>
    </w:p>
    <w:p w14:paraId="6B8DA841" w14:textId="77777777" w:rsidR="00A57D3A" w:rsidRDefault="00A57D3A">
      <w:pPr>
        <w:rPr>
          <w:b/>
          <w:bCs/>
          <w:u w:val="single"/>
        </w:rPr>
      </w:pPr>
    </w:p>
    <w:p w14:paraId="307EA2F4" w14:textId="77777777" w:rsidR="00A57D3A" w:rsidRDefault="00A57D3A">
      <w:pPr>
        <w:rPr>
          <w:b/>
          <w:bCs/>
          <w:u w:val="single"/>
        </w:rPr>
      </w:pPr>
    </w:p>
    <w:p w14:paraId="40549A2D" w14:textId="77777777" w:rsidR="00A57D3A" w:rsidRDefault="00A57D3A">
      <w:pPr>
        <w:rPr>
          <w:b/>
          <w:bCs/>
          <w:u w:val="single"/>
        </w:rPr>
      </w:pPr>
    </w:p>
    <w:p w14:paraId="36DB90E1" w14:textId="77777777" w:rsidR="00A57D3A" w:rsidRDefault="00A57D3A">
      <w:pPr>
        <w:rPr>
          <w:b/>
          <w:bCs/>
          <w:u w:val="single"/>
        </w:rPr>
      </w:pPr>
    </w:p>
    <w:p w14:paraId="22E45C77" w14:textId="77777777" w:rsidR="00C05E1F" w:rsidRDefault="00C05E1F">
      <w:pPr>
        <w:rPr>
          <w:b/>
          <w:bCs/>
          <w:u w:val="single"/>
        </w:rPr>
      </w:pPr>
    </w:p>
    <w:p w14:paraId="3EDA771E" w14:textId="0BD26E76" w:rsidR="00500133" w:rsidRPr="00753AC5" w:rsidRDefault="00500133">
      <w:pPr>
        <w:rPr>
          <w:b/>
          <w:bCs/>
          <w:u w:val="single"/>
        </w:rPr>
      </w:pPr>
      <w:r w:rsidRPr="00753AC5">
        <w:rPr>
          <w:b/>
          <w:bCs/>
          <w:u w:val="single"/>
        </w:rPr>
        <w:lastRenderedPageBreak/>
        <w:t>Appendix B</w:t>
      </w:r>
      <w:r w:rsidR="00753AC5">
        <w:rPr>
          <w:b/>
          <w:bCs/>
          <w:u w:val="single"/>
        </w:rPr>
        <w:t>:</w:t>
      </w:r>
    </w:p>
    <w:p w14:paraId="10E373B7" w14:textId="77777777" w:rsidR="0022564B" w:rsidRDefault="009A10B9">
      <w:r w:rsidRPr="009322D5">
        <w:rPr>
          <w:b/>
          <w:bCs/>
          <w:u w:val="single"/>
        </w:rPr>
        <w:t>Problem II:</w:t>
      </w:r>
      <w:r w:rsidR="00F30B60">
        <w:t xml:space="preserve"> </w:t>
      </w:r>
    </w:p>
    <w:p w14:paraId="5C88A9D4" w14:textId="07FB74D2" w:rsidR="00D1765F" w:rsidRDefault="00D1765F" w:rsidP="00D1765F">
      <w:r w:rsidRPr="0012346E">
        <w:rPr>
          <w:b/>
          <w:bCs/>
          <w:u w:val="single"/>
        </w:rPr>
        <w:t>Description:</w:t>
      </w:r>
      <w:r>
        <w:t xml:space="preserve"> </w:t>
      </w:r>
      <w:r>
        <w:t>CASAS Reporting System: Scales</w:t>
      </w:r>
    </w:p>
    <w:p w14:paraId="62A9544E" w14:textId="348236AD" w:rsidR="0051258C" w:rsidRDefault="0051258C" w:rsidP="0092678D">
      <w:r>
        <w:t>The problem here is that the reading and writing scores are reported on multiple scales</w:t>
      </w:r>
      <w:r w:rsidR="003F438E">
        <w:t>.</w:t>
      </w:r>
    </w:p>
    <w:p w14:paraId="57409717" w14:textId="77777777" w:rsidR="0092678D" w:rsidRDefault="0092678D" w:rsidP="0092678D">
      <w:pPr>
        <w:pStyle w:val="ListParagraph"/>
        <w:numPr>
          <w:ilvl w:val="0"/>
          <w:numId w:val="1"/>
        </w:numPr>
      </w:pPr>
      <w:r>
        <w:t xml:space="preserve">The first scale: Actual score range as per test </w:t>
      </w:r>
    </w:p>
    <w:p w14:paraId="63F135F4" w14:textId="77777777" w:rsidR="0092678D" w:rsidRDefault="0092678D" w:rsidP="0092678D">
      <w:pPr>
        <w:pStyle w:val="ListParagraph"/>
        <w:numPr>
          <w:ilvl w:val="0"/>
          <w:numId w:val="1"/>
        </w:numPr>
      </w:pPr>
      <w:r>
        <w:t>The coded grade level: this scale has the highest frequency in the data. And while the conversion scale says to convert scores to integers, there are far more decimals at around the grade levels.</w:t>
      </w:r>
    </w:p>
    <w:p w14:paraId="37AFC15C" w14:textId="5B604589" w:rsidR="0092678D" w:rsidRDefault="0092678D" w:rsidP="0092678D">
      <w:pPr>
        <w:pStyle w:val="ListParagraph"/>
        <w:numPr>
          <w:ilvl w:val="0"/>
          <w:numId w:val="1"/>
        </w:numPr>
      </w:pPr>
      <w:r>
        <w:t xml:space="preserve">Lastly, </w:t>
      </w:r>
      <w:r w:rsidR="00936D18">
        <w:t>text-based</w:t>
      </w:r>
      <w:r>
        <w:t xml:space="preserve"> grade levels</w:t>
      </w:r>
    </w:p>
    <w:p w14:paraId="27C98E5E" w14:textId="196B487A" w:rsidR="002533A3" w:rsidRDefault="00000916" w:rsidP="002533A3">
      <w:r w:rsidRPr="00DF0DF2">
        <w:rPr>
          <w:b/>
          <w:bCs/>
          <w:u w:val="single"/>
        </w:rPr>
        <w:t>Why it</w:t>
      </w:r>
      <w:r w:rsidR="0007073D">
        <w:rPr>
          <w:b/>
          <w:bCs/>
          <w:u w:val="single"/>
        </w:rPr>
        <w:t xml:space="preserve"> i</w:t>
      </w:r>
      <w:r w:rsidRPr="00DF0DF2">
        <w:rPr>
          <w:b/>
          <w:bCs/>
          <w:u w:val="single"/>
        </w:rPr>
        <w:t>s a problem:</w:t>
      </w:r>
      <w:r>
        <w:t xml:space="preserve"> </w:t>
      </w:r>
      <w:r w:rsidR="002533A3">
        <w:t xml:space="preserve">Far too inconsistent to be of any use when conducting any analysis linking customer scores to their success with obtaining employment. </w:t>
      </w:r>
    </w:p>
    <w:p w14:paraId="27E64E9D" w14:textId="286A8B14" w:rsidR="00000916" w:rsidRDefault="00D54DB7" w:rsidP="00000916">
      <w:pPr>
        <w:pStyle w:val="ListParagraph"/>
        <w:numPr>
          <w:ilvl w:val="0"/>
          <w:numId w:val="4"/>
        </w:numPr>
      </w:pPr>
      <w:r>
        <w:t>Screenshot 1: Below are the conversion scales for CASS</w:t>
      </w:r>
    </w:p>
    <w:p w14:paraId="54BD4A5E" w14:textId="161EC862" w:rsidR="0092678D" w:rsidRDefault="00D54DB7" w:rsidP="00D1765F">
      <w:r>
        <w:rPr>
          <w:noProof/>
        </w:rPr>
        <w:drawing>
          <wp:inline distT="0" distB="0" distL="0" distR="0" wp14:anchorId="2E443089" wp14:editId="541E7ED1">
            <wp:extent cx="3677915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99" cy="21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18F1" w14:textId="3ABAAC9A" w:rsidR="00D54DB7" w:rsidRDefault="00D54DB7" w:rsidP="00D1765F">
      <w:r>
        <w:rPr>
          <w:noProof/>
        </w:rPr>
        <w:drawing>
          <wp:inline distT="0" distB="0" distL="0" distR="0" wp14:anchorId="267C6165" wp14:editId="5E01CA30">
            <wp:extent cx="366112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160" cy="20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6E5" w14:textId="01E80DC0" w:rsidR="0022564B" w:rsidRDefault="0022564B"/>
    <w:p w14:paraId="49306A96" w14:textId="77777777" w:rsidR="0022564B" w:rsidRDefault="0022564B"/>
    <w:p w14:paraId="01F6DDAF" w14:textId="5FEEA121" w:rsidR="0022564B" w:rsidRDefault="00EE13EC">
      <w:r>
        <w:t xml:space="preserve"> </w:t>
      </w:r>
    </w:p>
    <w:p w14:paraId="6C43DA94" w14:textId="368A4BB4" w:rsidR="0022564B" w:rsidRDefault="002F738B" w:rsidP="002F738B">
      <w:pPr>
        <w:pStyle w:val="ListParagraph"/>
        <w:numPr>
          <w:ilvl w:val="0"/>
          <w:numId w:val="4"/>
        </w:numPr>
      </w:pPr>
      <w:r>
        <w:lastRenderedPageBreak/>
        <w:t>Screenshot 2: Numeric Scores</w:t>
      </w:r>
    </w:p>
    <w:p w14:paraId="06E48D7D" w14:textId="224EE94F" w:rsidR="008803DA" w:rsidRPr="00A31B43" w:rsidRDefault="008803DA" w:rsidP="00CB19A6">
      <w:pPr>
        <w:rPr>
          <w:b/>
          <w:bCs/>
          <w:u w:val="single"/>
        </w:rPr>
      </w:pPr>
      <w:r w:rsidRPr="00A31B43">
        <w:rPr>
          <w:b/>
          <w:bCs/>
          <w:u w:val="single"/>
        </w:rPr>
        <w:t>Description:</w:t>
      </w:r>
    </w:p>
    <w:p w14:paraId="7286FF92" w14:textId="667D1247" w:rsidR="00CB19A6" w:rsidRDefault="00CB19A6" w:rsidP="00CB19A6">
      <w:r>
        <w:t xml:space="preserve">While </w:t>
      </w:r>
      <w:proofErr w:type="gramStart"/>
      <w:r>
        <w:t>a majority of</w:t>
      </w:r>
      <w:proofErr w:type="gramEnd"/>
      <w:r>
        <w:t xml:space="preserve"> scores are coded on the K-12 reading and writing range, </w:t>
      </w:r>
      <w:r w:rsidR="00E85D95">
        <w:t>a few remain coded as the raw scores</w:t>
      </w:r>
    </w:p>
    <w:p w14:paraId="715A570C" w14:textId="50306F7D" w:rsidR="00DF0613" w:rsidRDefault="00DF0613" w:rsidP="00CB19A6">
      <w:r>
        <w:t xml:space="preserve">Moreover, for the scores that coded on the K-12 range, the data dictionary lists integer values as the categories. But the data mostly features decimal values. </w:t>
      </w:r>
    </w:p>
    <w:p w14:paraId="673312DF" w14:textId="4DE87FB5" w:rsidR="004F6DD2" w:rsidRDefault="00380C0C" w:rsidP="00CB19A6">
      <w:r>
        <w:t xml:space="preserve">Lastly, the raw scores are to range from </w:t>
      </w:r>
      <w:r w:rsidR="00506A13">
        <w:t>180-250</w:t>
      </w:r>
      <w:r>
        <w:t xml:space="preserve"> for reading and writing scores. But the data contains values such as 1010, 1300, 7000, 9999 that are wildly off the CASAS scoring range. </w:t>
      </w:r>
    </w:p>
    <w:p w14:paraId="6B78176C" w14:textId="456D80CB" w:rsidR="00380C0C" w:rsidRDefault="00380C0C" w:rsidP="00CB19A6">
      <w:r>
        <w:t xml:space="preserve">There is no indication as to what these values mean. </w:t>
      </w:r>
    </w:p>
    <w:p w14:paraId="14F2D061" w14:textId="483865CC" w:rsidR="004B1787" w:rsidRDefault="004B1787" w:rsidP="00CB19A6">
      <w:r w:rsidRPr="00250436">
        <w:rPr>
          <w:b/>
          <w:bCs/>
          <w:u w:val="single"/>
        </w:rPr>
        <w:t>Why it</w:t>
      </w:r>
      <w:r w:rsidR="00055834">
        <w:rPr>
          <w:b/>
          <w:bCs/>
          <w:u w:val="single"/>
        </w:rPr>
        <w:t xml:space="preserve"> i</w:t>
      </w:r>
      <w:r w:rsidRPr="00250436">
        <w:rPr>
          <w:b/>
          <w:bCs/>
          <w:u w:val="single"/>
        </w:rPr>
        <w:t>s a problem:</w:t>
      </w:r>
      <w:r>
        <w:t xml:space="preserve"> This presents a significant challenge to conducting any meaningful analysis using CASAS scores</w:t>
      </w:r>
    </w:p>
    <w:p w14:paraId="48FE4DB7" w14:textId="7242F6CF" w:rsidR="004B1787" w:rsidRPr="00EA6B36" w:rsidRDefault="004B1787" w:rsidP="00CB19A6">
      <w:pPr>
        <w:rPr>
          <w:b/>
          <w:bCs/>
          <w:u w:val="single"/>
        </w:rPr>
      </w:pPr>
      <w:r w:rsidRPr="00EA6B36">
        <w:rPr>
          <w:b/>
          <w:bCs/>
          <w:u w:val="single"/>
        </w:rPr>
        <w:t xml:space="preserve">Proposed solution: </w:t>
      </w:r>
    </w:p>
    <w:p w14:paraId="63F09657" w14:textId="77777777" w:rsidR="00977981" w:rsidRDefault="00D00A35" w:rsidP="00E7651D">
      <w:pPr>
        <w:pStyle w:val="ListParagraph"/>
        <w:numPr>
          <w:ilvl w:val="0"/>
          <w:numId w:val="5"/>
        </w:numPr>
      </w:pPr>
      <w:r>
        <w:t xml:space="preserve">Bring all scores on the K-12 range. </w:t>
      </w:r>
    </w:p>
    <w:p w14:paraId="7973FC23" w14:textId="77777777" w:rsidR="008202F9" w:rsidRDefault="00D00A35" w:rsidP="00CB19A6">
      <w:pPr>
        <w:pStyle w:val="ListParagraph"/>
        <w:numPr>
          <w:ilvl w:val="0"/>
          <w:numId w:val="5"/>
        </w:numPr>
      </w:pPr>
      <w:r>
        <w:t xml:space="preserve">If decimals are acceptable, say so in the documentation. </w:t>
      </w:r>
    </w:p>
    <w:p w14:paraId="6D02544E" w14:textId="5F1E7CF8" w:rsidR="0022564B" w:rsidRDefault="0088441B" w:rsidP="000B138A">
      <w:pPr>
        <w:pStyle w:val="ListParagraph"/>
        <w:numPr>
          <w:ilvl w:val="0"/>
          <w:numId w:val="5"/>
        </w:numPr>
      </w:pPr>
      <w:r>
        <w:t>Account for the values that are far above the acceptable range, as well as for 0 values.</w:t>
      </w:r>
      <w:r w:rsidR="001404EB">
        <w:t xml:space="preserve">, in the documentation. </w:t>
      </w:r>
    </w:p>
    <w:p w14:paraId="18145AC2" w14:textId="390FC36F" w:rsidR="0022564B" w:rsidRDefault="00EE13EC">
      <w:r>
        <w:rPr>
          <w:noProof/>
        </w:rPr>
        <w:drawing>
          <wp:inline distT="0" distB="0" distL="0" distR="0" wp14:anchorId="146ED280" wp14:editId="4CE6E619">
            <wp:extent cx="5670550" cy="3016250"/>
            <wp:effectExtent l="0" t="0" r="635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6EC4DE0-D429-4798-B340-E6D7CD8AD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C95DF4" w14:textId="0DBDE4A5" w:rsidR="00EE13EC" w:rsidRDefault="00EE13EC">
      <w:r>
        <w:rPr>
          <w:noProof/>
        </w:rPr>
        <w:lastRenderedPageBreak/>
        <w:drawing>
          <wp:inline distT="0" distB="0" distL="0" distR="0" wp14:anchorId="48F955F3" wp14:editId="2063141C">
            <wp:extent cx="5702300" cy="3698875"/>
            <wp:effectExtent l="0" t="0" r="12700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5DF08A7-5084-46CD-B416-18878D1B04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08C8D3" w14:textId="77777777" w:rsidR="0022564B" w:rsidRDefault="0022564B"/>
    <w:p w14:paraId="0C0C5153" w14:textId="77777777" w:rsidR="0022564B" w:rsidRDefault="0022564B"/>
    <w:p w14:paraId="4C294308" w14:textId="7A0B8A44" w:rsidR="0022564B" w:rsidRDefault="00FB72AE" w:rsidP="00FB72AE">
      <w:pPr>
        <w:pStyle w:val="ListParagraph"/>
        <w:numPr>
          <w:ilvl w:val="0"/>
          <w:numId w:val="4"/>
        </w:numPr>
      </w:pPr>
      <w:r>
        <w:t xml:space="preserve">Screenshot 3: </w:t>
      </w:r>
    </w:p>
    <w:p w14:paraId="27C4500F" w14:textId="24592D5C" w:rsidR="00FB72AE" w:rsidRDefault="00FB72AE" w:rsidP="00FB72AE">
      <w:r w:rsidRPr="00630BE8">
        <w:rPr>
          <w:b/>
          <w:bCs/>
          <w:u w:val="single"/>
        </w:rPr>
        <w:t>Proposed solution:</w:t>
      </w:r>
      <w:r>
        <w:t xml:space="preserve"> This is far easier to </w:t>
      </w:r>
      <w:r w:rsidR="002F11F5">
        <w:t>remedy and</w:t>
      </w:r>
      <w:r>
        <w:t xml:space="preserve"> is an issue for only the rows listed below, far fewer in number. </w:t>
      </w:r>
      <w:r w:rsidR="00097DF7">
        <w:t xml:space="preserve">All we </w:t>
      </w:r>
      <w:proofErr w:type="gramStart"/>
      <w:r w:rsidR="00097DF7">
        <w:t>have to</w:t>
      </w:r>
      <w:proofErr w:type="gramEnd"/>
      <w:r w:rsidR="00097DF7">
        <w:t xml:space="preserve"> do is to convert these rows to the corresponding numeric values for grade level in reading and writing. </w:t>
      </w:r>
    </w:p>
    <w:p w14:paraId="0C2DDB25" w14:textId="090876AA" w:rsidR="00107051" w:rsidRDefault="00250C3A" w:rsidP="00FB72AE">
      <w:r w:rsidRPr="002602CF">
        <w:rPr>
          <w:b/>
          <w:bCs/>
          <w:u w:val="single"/>
        </w:rPr>
        <w:t>Note:</w:t>
      </w:r>
      <w:r>
        <w:t xml:space="preserve"> </w:t>
      </w:r>
      <w:r w:rsidR="00107051">
        <w:t>Additionally, workforce specialists should be given instruction on entering CASAS data only on the grade level scale moving forward.</w:t>
      </w:r>
    </w:p>
    <w:p w14:paraId="42C640A1" w14:textId="77777777" w:rsidR="0022564B" w:rsidRDefault="0022564B"/>
    <w:p w14:paraId="018E75C8" w14:textId="77777777" w:rsidR="00CC067A" w:rsidRDefault="0098788C" w:rsidP="00301716">
      <w:r>
        <w:rPr>
          <w:noProof/>
        </w:rPr>
        <w:drawing>
          <wp:inline distT="0" distB="0" distL="0" distR="0" wp14:anchorId="783EEDAF" wp14:editId="21314717">
            <wp:extent cx="2767036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9" cy="18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8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602345" wp14:editId="425BDCF7">
            <wp:extent cx="2540000" cy="18395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682" cy="19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31D0" w14:textId="04645863" w:rsidR="00301716" w:rsidRDefault="000A7026" w:rsidP="00301716">
      <w:r w:rsidRPr="00975E0C">
        <w:rPr>
          <w:b/>
          <w:bCs/>
          <w:u w:val="single"/>
        </w:rPr>
        <w:lastRenderedPageBreak/>
        <w:t>Problem III</w:t>
      </w:r>
      <w:r w:rsidR="00975E0C">
        <w:rPr>
          <w:b/>
          <w:bCs/>
          <w:u w:val="single"/>
        </w:rPr>
        <w:t xml:space="preserve">: </w:t>
      </w:r>
      <w:r w:rsidR="00975E0C">
        <w:t>Education level</w:t>
      </w:r>
      <w:r w:rsidR="001D0C3A">
        <w:t xml:space="preserve"> categories. </w:t>
      </w:r>
    </w:p>
    <w:p w14:paraId="189F7B4D" w14:textId="23A9AAE5" w:rsidR="00295790" w:rsidRPr="00717C32" w:rsidRDefault="00295790" w:rsidP="00301716">
      <w:pPr>
        <w:rPr>
          <w:b/>
          <w:bCs/>
          <w:u w:val="single"/>
        </w:rPr>
      </w:pPr>
      <w:r w:rsidRPr="00717C32">
        <w:rPr>
          <w:b/>
          <w:bCs/>
          <w:u w:val="single"/>
        </w:rPr>
        <w:t xml:space="preserve">Description: </w:t>
      </w:r>
    </w:p>
    <w:p w14:paraId="7D85F81F" w14:textId="2283A19E" w:rsidR="007B6A72" w:rsidRDefault="00157A40" w:rsidP="00301716">
      <w:r>
        <w:t>The education level categories (</w:t>
      </w:r>
      <w:r w:rsidR="0099282D">
        <w:t xml:space="preserve">Wagner </w:t>
      </w:r>
      <w:proofErr w:type="spellStart"/>
      <w:r w:rsidR="0099282D">
        <w:t>Peyser</w:t>
      </w:r>
      <w:proofErr w:type="spellEnd"/>
      <w:r>
        <w:t>) that are included in the Maryland custom report</w:t>
      </w:r>
      <w:r w:rsidR="00922038">
        <w:t xml:space="preserve">, </w:t>
      </w:r>
      <w:r w:rsidR="007C68C0">
        <w:t>feature data outside the categories listed in the data dictionary</w:t>
      </w:r>
      <w:r w:rsidR="007B6A72">
        <w:t xml:space="preserve"> [specifically - 89]. </w:t>
      </w:r>
    </w:p>
    <w:p w14:paraId="7B19107C" w14:textId="584ACF4D" w:rsidR="00B0263D" w:rsidRDefault="006371F0" w:rsidP="00301716">
      <w:r>
        <w:t xml:space="preserve">Moreover, </w:t>
      </w:r>
      <w:r w:rsidR="000A4E7E">
        <w:t>t</w:t>
      </w:r>
      <w:r>
        <w:t>he data dictionar</w:t>
      </w:r>
      <w:r w:rsidR="009E2B34">
        <w:t>y</w:t>
      </w:r>
      <w:r>
        <w:t xml:space="preserve"> lists the data beginning from the 9</w:t>
      </w:r>
      <w:r w:rsidRPr="006371F0">
        <w:rPr>
          <w:vertAlign w:val="superscript"/>
        </w:rPr>
        <w:t>th</w:t>
      </w:r>
      <w:r>
        <w:t xml:space="preserve"> grade. But the actual data contains values from 1 to 8 as well, and significant counts of the same. </w:t>
      </w:r>
      <w:r w:rsidR="00640B95">
        <w:t>Of course,</w:t>
      </w:r>
      <w:r>
        <w:t xml:space="preserve"> it can be inferred that these values correspond directly to years of schooling (1</w:t>
      </w:r>
      <w:r>
        <w:rPr>
          <w:vertAlign w:val="superscript"/>
        </w:rPr>
        <w:t xml:space="preserve"> </w:t>
      </w:r>
      <w:r>
        <w:t>=&gt; 1</w:t>
      </w:r>
      <w:r w:rsidRPr="006371F0">
        <w:rPr>
          <w:vertAlign w:val="superscript"/>
        </w:rPr>
        <w:t>st</w:t>
      </w:r>
      <w:r>
        <w:t xml:space="preserve"> grade, 8=&gt; 8</w:t>
      </w:r>
      <w:r w:rsidRPr="006371F0">
        <w:rPr>
          <w:vertAlign w:val="superscript"/>
        </w:rPr>
        <w:t>th</w:t>
      </w:r>
      <w:r>
        <w:t xml:space="preserve"> grade), but this should be made clear in the documentation. And if missing, should be updated to reflect the same. </w:t>
      </w:r>
    </w:p>
    <w:p w14:paraId="48FFA100" w14:textId="11D069A6" w:rsidR="00074FC5" w:rsidRDefault="00074FC5" w:rsidP="00301716"/>
    <w:p w14:paraId="0371C752" w14:textId="18029765" w:rsidR="00074FC5" w:rsidRDefault="00074FC5" w:rsidP="00074FC5">
      <w:pPr>
        <w:pStyle w:val="ListParagraph"/>
        <w:numPr>
          <w:ilvl w:val="0"/>
          <w:numId w:val="6"/>
        </w:numPr>
      </w:pPr>
      <w:r>
        <w:t xml:space="preserve">Screenshot 1: </w:t>
      </w:r>
      <w:r w:rsidR="000345AB">
        <w:t xml:space="preserve">Counts of education levels </w:t>
      </w:r>
      <w:proofErr w:type="gramStart"/>
      <w:r w:rsidR="000345AB">
        <w:t>entered into</w:t>
      </w:r>
      <w:proofErr w:type="gramEnd"/>
      <w:r w:rsidR="000345AB">
        <w:t xml:space="preserve"> DC Networks by customers</w:t>
      </w:r>
    </w:p>
    <w:p w14:paraId="1EAB1C8D" w14:textId="652CABCE" w:rsidR="00437979" w:rsidRDefault="00082BCC">
      <w:r>
        <w:rPr>
          <w:noProof/>
        </w:rPr>
        <w:drawing>
          <wp:inline distT="0" distB="0" distL="0" distR="0" wp14:anchorId="1DC59805" wp14:editId="78462306">
            <wp:extent cx="4730750" cy="28448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C864487-7725-4A97-B922-3E651B03E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F718B0" w14:textId="61D681E9" w:rsidR="00E36B3A" w:rsidRDefault="00E36B3A"/>
    <w:p w14:paraId="7D42AFA4" w14:textId="02592B48" w:rsidR="008051B9" w:rsidRDefault="008051B9"/>
    <w:p w14:paraId="31DE10A5" w14:textId="2F315938" w:rsidR="008051B9" w:rsidRDefault="008051B9"/>
    <w:p w14:paraId="13388A92" w14:textId="7B28B29E" w:rsidR="008051B9" w:rsidRDefault="008051B9"/>
    <w:p w14:paraId="63593E59" w14:textId="71B9CC59" w:rsidR="008051B9" w:rsidRDefault="008051B9"/>
    <w:p w14:paraId="7FE1615F" w14:textId="04618136" w:rsidR="008051B9" w:rsidRDefault="008051B9"/>
    <w:p w14:paraId="2BA6A64C" w14:textId="3346757F" w:rsidR="008051B9" w:rsidRDefault="008051B9"/>
    <w:p w14:paraId="31165258" w14:textId="4061BF34" w:rsidR="008051B9" w:rsidRDefault="008051B9"/>
    <w:p w14:paraId="00F10171" w14:textId="38D0ED78" w:rsidR="008051B9" w:rsidRDefault="008051B9"/>
    <w:p w14:paraId="4232EEE2" w14:textId="77777777" w:rsidR="008051B9" w:rsidRDefault="008051B9"/>
    <w:p w14:paraId="1C7C2509" w14:textId="46CF1C09" w:rsidR="0040148F" w:rsidRDefault="0040148F" w:rsidP="0040148F">
      <w:pPr>
        <w:pStyle w:val="ListParagraph"/>
        <w:numPr>
          <w:ilvl w:val="0"/>
          <w:numId w:val="6"/>
        </w:numPr>
      </w:pPr>
      <w:r>
        <w:lastRenderedPageBreak/>
        <w:t>Screenshot 2: Current coding scale</w:t>
      </w:r>
    </w:p>
    <w:p w14:paraId="4258B2E8" w14:textId="6EBB58CB" w:rsidR="00DF2D5F" w:rsidRDefault="00DF2D5F">
      <w:r>
        <w:rPr>
          <w:noProof/>
        </w:rPr>
        <w:drawing>
          <wp:inline distT="0" distB="0" distL="0" distR="0" wp14:anchorId="67D9EA5F" wp14:editId="34046F42">
            <wp:extent cx="3892550" cy="368734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819" cy="36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E163" w14:textId="77777777" w:rsidR="00C856C1" w:rsidRDefault="00C856C1" w:rsidP="00E41972">
      <w:pPr>
        <w:rPr>
          <w:b/>
          <w:bCs/>
          <w:u w:val="single"/>
        </w:rPr>
      </w:pPr>
    </w:p>
    <w:p w14:paraId="7ACC5BE5" w14:textId="617351A4" w:rsidR="00CA664A" w:rsidRPr="00160BA8" w:rsidRDefault="00E41972" w:rsidP="00E41972">
      <w:pPr>
        <w:rPr>
          <w:b/>
          <w:bCs/>
          <w:u w:val="single"/>
        </w:rPr>
      </w:pPr>
      <w:r w:rsidRPr="00160BA8">
        <w:rPr>
          <w:b/>
          <w:bCs/>
          <w:u w:val="single"/>
        </w:rPr>
        <w:t xml:space="preserve">Description: </w:t>
      </w:r>
    </w:p>
    <w:p w14:paraId="621A45BF" w14:textId="77777777" w:rsidR="003E40F8" w:rsidRDefault="00E41972" w:rsidP="00E41972">
      <w:r>
        <w:t xml:space="preserve">A variable like education, where more of something can typically be tied to other outcomes, needs to be ordered </w:t>
      </w:r>
      <w:proofErr w:type="gramStart"/>
      <w:r>
        <w:t>in order to</w:t>
      </w:r>
      <w:proofErr w:type="gramEnd"/>
      <w:r>
        <w:t xml:space="preserve"> be useful. However, the current progression of categories is </w:t>
      </w:r>
    </w:p>
    <w:p w14:paraId="086B5C36" w14:textId="77777777" w:rsidR="003E40F8" w:rsidRDefault="00E41972" w:rsidP="00E41972">
      <w:r>
        <w:t xml:space="preserve">(a.) unordered according to progression </w:t>
      </w:r>
    </w:p>
    <w:p w14:paraId="14F53C00" w14:textId="71A8E790" w:rsidR="00E41972" w:rsidRDefault="00E41972" w:rsidP="00E41972">
      <w:r>
        <w:t>(b.) spaced unevenly</w:t>
      </w:r>
    </w:p>
    <w:p w14:paraId="696BEA9A" w14:textId="278F7E91" w:rsidR="000245E0" w:rsidRPr="003D79A5" w:rsidRDefault="000245E0" w:rsidP="00E41972">
      <w:pPr>
        <w:rPr>
          <w:b/>
          <w:bCs/>
          <w:u w:val="single"/>
        </w:rPr>
      </w:pPr>
      <w:r w:rsidRPr="003D79A5">
        <w:rPr>
          <w:b/>
          <w:bCs/>
          <w:u w:val="single"/>
        </w:rPr>
        <w:t>Propos</w:t>
      </w:r>
      <w:r w:rsidR="00866768" w:rsidRPr="003D79A5">
        <w:rPr>
          <w:b/>
          <w:bCs/>
          <w:u w:val="single"/>
        </w:rPr>
        <w:t xml:space="preserve">ed solution: </w:t>
      </w:r>
    </w:p>
    <w:p w14:paraId="46F75678" w14:textId="3047BBE8" w:rsidR="00866768" w:rsidRDefault="00866768" w:rsidP="00E41972">
      <w:r>
        <w:t>For the education levels variable to be used in producing any meaningful analytics, it must be recoded to be ordered, and spaced evenly. See below for a proposed recode solution.</w:t>
      </w:r>
    </w:p>
    <w:p w14:paraId="66506BA5" w14:textId="6F91D39C" w:rsidR="000245E0" w:rsidRDefault="000245E0" w:rsidP="00E41972"/>
    <w:p w14:paraId="486FF511" w14:textId="0A196E83" w:rsidR="008966A4" w:rsidRDefault="008966A4" w:rsidP="00E41972"/>
    <w:p w14:paraId="0CB14932" w14:textId="0851C016" w:rsidR="008966A4" w:rsidRDefault="008966A4" w:rsidP="00E41972"/>
    <w:p w14:paraId="4342B2F4" w14:textId="70D825DC" w:rsidR="008966A4" w:rsidRDefault="008966A4" w:rsidP="00E41972"/>
    <w:p w14:paraId="2F31665A" w14:textId="1530673C" w:rsidR="008966A4" w:rsidRDefault="008966A4" w:rsidP="00E41972"/>
    <w:p w14:paraId="7CF528C8" w14:textId="77777777" w:rsidR="008966A4" w:rsidRDefault="008966A4" w:rsidP="00E41972"/>
    <w:p w14:paraId="18870019" w14:textId="68DF7187" w:rsidR="000245E0" w:rsidRDefault="000245E0" w:rsidP="00796B0F">
      <w:pPr>
        <w:pStyle w:val="ListParagraph"/>
        <w:numPr>
          <w:ilvl w:val="0"/>
          <w:numId w:val="6"/>
        </w:numPr>
      </w:pPr>
      <w:r>
        <w:lastRenderedPageBreak/>
        <w:t>Screenshot 3: Suggested coding scale</w:t>
      </w:r>
    </w:p>
    <w:p w14:paraId="0E1B8F69" w14:textId="77777777" w:rsidR="000245E0" w:rsidRDefault="000245E0" w:rsidP="000245E0">
      <w:pPr>
        <w:ind w:left="360"/>
      </w:pPr>
      <w:r>
        <w:rPr>
          <w:noProof/>
        </w:rPr>
        <w:drawing>
          <wp:inline distT="0" distB="0" distL="0" distR="0" wp14:anchorId="525957D4" wp14:editId="488B520E">
            <wp:extent cx="4610100" cy="36969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3" cy="37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A65D" w14:textId="786C509C" w:rsidR="000245E0" w:rsidRDefault="000245E0" w:rsidP="00E41972"/>
    <w:p w14:paraId="6E5D6974" w14:textId="77777777" w:rsidR="00253B8E" w:rsidRDefault="00253B8E" w:rsidP="00E41972"/>
    <w:sectPr w:rsidR="0025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C9D"/>
    <w:multiLevelType w:val="hybridMultilevel"/>
    <w:tmpl w:val="B8E824EC"/>
    <w:lvl w:ilvl="0" w:tplc="99582EE0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6C14"/>
    <w:multiLevelType w:val="hybridMultilevel"/>
    <w:tmpl w:val="75221C7E"/>
    <w:lvl w:ilvl="0" w:tplc="BE86A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B60"/>
    <w:multiLevelType w:val="hybridMultilevel"/>
    <w:tmpl w:val="75221C7E"/>
    <w:lvl w:ilvl="0" w:tplc="BE86A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081C"/>
    <w:multiLevelType w:val="hybridMultilevel"/>
    <w:tmpl w:val="07B88C76"/>
    <w:lvl w:ilvl="0" w:tplc="F9ACCC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287B"/>
    <w:multiLevelType w:val="hybridMultilevel"/>
    <w:tmpl w:val="2452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22EF"/>
    <w:multiLevelType w:val="hybridMultilevel"/>
    <w:tmpl w:val="FE943B66"/>
    <w:lvl w:ilvl="0" w:tplc="E51E2B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551F"/>
    <w:multiLevelType w:val="hybridMultilevel"/>
    <w:tmpl w:val="DE0C1B7C"/>
    <w:lvl w:ilvl="0" w:tplc="77B25F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3B"/>
    <w:rsid w:val="00000916"/>
    <w:rsid w:val="00006BA6"/>
    <w:rsid w:val="00014F8D"/>
    <w:rsid w:val="00023E4E"/>
    <w:rsid w:val="000245E0"/>
    <w:rsid w:val="000345AB"/>
    <w:rsid w:val="0004543B"/>
    <w:rsid w:val="00055834"/>
    <w:rsid w:val="00061EC2"/>
    <w:rsid w:val="00067BB1"/>
    <w:rsid w:val="0007073D"/>
    <w:rsid w:val="00074FC5"/>
    <w:rsid w:val="00082BCC"/>
    <w:rsid w:val="00090F2C"/>
    <w:rsid w:val="00097DF7"/>
    <w:rsid w:val="000A4E7E"/>
    <w:rsid w:val="000A7026"/>
    <w:rsid w:val="000A73B0"/>
    <w:rsid w:val="000B0898"/>
    <w:rsid w:val="000B138A"/>
    <w:rsid w:val="000C0758"/>
    <w:rsid w:val="000D41AE"/>
    <w:rsid w:val="000E61A8"/>
    <w:rsid w:val="000F2EB7"/>
    <w:rsid w:val="00106F9C"/>
    <w:rsid w:val="00107051"/>
    <w:rsid w:val="00110F96"/>
    <w:rsid w:val="0012346E"/>
    <w:rsid w:val="00136D1A"/>
    <w:rsid w:val="001404EB"/>
    <w:rsid w:val="00152A59"/>
    <w:rsid w:val="00157A40"/>
    <w:rsid w:val="00160BA8"/>
    <w:rsid w:val="00173CFB"/>
    <w:rsid w:val="00196C6A"/>
    <w:rsid w:val="001A1C5E"/>
    <w:rsid w:val="001A7302"/>
    <w:rsid w:val="001D0C3A"/>
    <w:rsid w:val="001D3BC4"/>
    <w:rsid w:val="001F1B91"/>
    <w:rsid w:val="00202AB5"/>
    <w:rsid w:val="00210797"/>
    <w:rsid w:val="00212F32"/>
    <w:rsid w:val="00213348"/>
    <w:rsid w:val="0022564B"/>
    <w:rsid w:val="00234B4D"/>
    <w:rsid w:val="0024069D"/>
    <w:rsid w:val="00250436"/>
    <w:rsid w:val="00250C3A"/>
    <w:rsid w:val="00251294"/>
    <w:rsid w:val="002518A8"/>
    <w:rsid w:val="002533A3"/>
    <w:rsid w:val="00253B8E"/>
    <w:rsid w:val="002602CF"/>
    <w:rsid w:val="00265D54"/>
    <w:rsid w:val="00281AE2"/>
    <w:rsid w:val="00295790"/>
    <w:rsid w:val="002B49B9"/>
    <w:rsid w:val="002C1528"/>
    <w:rsid w:val="002C4BDE"/>
    <w:rsid w:val="002E1058"/>
    <w:rsid w:val="002E4851"/>
    <w:rsid w:val="002E6D3A"/>
    <w:rsid w:val="002F11F5"/>
    <w:rsid w:val="002F2978"/>
    <w:rsid w:val="002F738B"/>
    <w:rsid w:val="00301716"/>
    <w:rsid w:val="003125C8"/>
    <w:rsid w:val="00344F93"/>
    <w:rsid w:val="003567D0"/>
    <w:rsid w:val="00375C7A"/>
    <w:rsid w:val="00380C0C"/>
    <w:rsid w:val="00381532"/>
    <w:rsid w:val="003832AE"/>
    <w:rsid w:val="003959B9"/>
    <w:rsid w:val="003A2FCF"/>
    <w:rsid w:val="003A63D2"/>
    <w:rsid w:val="003B4217"/>
    <w:rsid w:val="003B6265"/>
    <w:rsid w:val="003D4F3B"/>
    <w:rsid w:val="003D79A5"/>
    <w:rsid w:val="003E40F8"/>
    <w:rsid w:val="003E4B10"/>
    <w:rsid w:val="003E5D3E"/>
    <w:rsid w:val="003F438E"/>
    <w:rsid w:val="0040148F"/>
    <w:rsid w:val="00410E9A"/>
    <w:rsid w:val="00422000"/>
    <w:rsid w:val="00437979"/>
    <w:rsid w:val="00450691"/>
    <w:rsid w:val="0045611C"/>
    <w:rsid w:val="00457F7F"/>
    <w:rsid w:val="00463F3B"/>
    <w:rsid w:val="00490296"/>
    <w:rsid w:val="00491D5A"/>
    <w:rsid w:val="004A360A"/>
    <w:rsid w:val="004B1787"/>
    <w:rsid w:val="004D36D0"/>
    <w:rsid w:val="004E2667"/>
    <w:rsid w:val="004F6DD2"/>
    <w:rsid w:val="00500133"/>
    <w:rsid w:val="00506A13"/>
    <w:rsid w:val="0051258C"/>
    <w:rsid w:val="00517272"/>
    <w:rsid w:val="0052366A"/>
    <w:rsid w:val="00524F6B"/>
    <w:rsid w:val="005E3124"/>
    <w:rsid w:val="005E6008"/>
    <w:rsid w:val="005E6F6B"/>
    <w:rsid w:val="005F1B9A"/>
    <w:rsid w:val="005F5CCB"/>
    <w:rsid w:val="005F75FB"/>
    <w:rsid w:val="0060064E"/>
    <w:rsid w:val="00630BE8"/>
    <w:rsid w:val="00630E5A"/>
    <w:rsid w:val="00631967"/>
    <w:rsid w:val="006371F0"/>
    <w:rsid w:val="00640B95"/>
    <w:rsid w:val="00660FCC"/>
    <w:rsid w:val="00667886"/>
    <w:rsid w:val="006B1362"/>
    <w:rsid w:val="006C2C2E"/>
    <w:rsid w:val="006D0D7F"/>
    <w:rsid w:val="006D6DFA"/>
    <w:rsid w:val="00717C32"/>
    <w:rsid w:val="00722A11"/>
    <w:rsid w:val="00726501"/>
    <w:rsid w:val="00737B5E"/>
    <w:rsid w:val="00743D3F"/>
    <w:rsid w:val="00751576"/>
    <w:rsid w:val="00753AC5"/>
    <w:rsid w:val="007603C9"/>
    <w:rsid w:val="00796B0F"/>
    <w:rsid w:val="007A5136"/>
    <w:rsid w:val="007B22D9"/>
    <w:rsid w:val="007B4FDB"/>
    <w:rsid w:val="007B6A72"/>
    <w:rsid w:val="007C68C0"/>
    <w:rsid w:val="008051B9"/>
    <w:rsid w:val="008202F9"/>
    <w:rsid w:val="00825401"/>
    <w:rsid w:val="00827A50"/>
    <w:rsid w:val="00847E29"/>
    <w:rsid w:val="00854A6F"/>
    <w:rsid w:val="00855726"/>
    <w:rsid w:val="00861444"/>
    <w:rsid w:val="00866768"/>
    <w:rsid w:val="00866B09"/>
    <w:rsid w:val="00877085"/>
    <w:rsid w:val="008803DA"/>
    <w:rsid w:val="0088441B"/>
    <w:rsid w:val="008966A4"/>
    <w:rsid w:val="008A3B1C"/>
    <w:rsid w:val="008A613A"/>
    <w:rsid w:val="008B173B"/>
    <w:rsid w:val="008B3DF0"/>
    <w:rsid w:val="008C157C"/>
    <w:rsid w:val="008D6861"/>
    <w:rsid w:val="008E0D09"/>
    <w:rsid w:val="008E2F0D"/>
    <w:rsid w:val="0091756D"/>
    <w:rsid w:val="00922038"/>
    <w:rsid w:val="0092678D"/>
    <w:rsid w:val="009322D5"/>
    <w:rsid w:val="00936D18"/>
    <w:rsid w:val="00950E57"/>
    <w:rsid w:val="00967A2E"/>
    <w:rsid w:val="00973049"/>
    <w:rsid w:val="009741CE"/>
    <w:rsid w:val="00975E0C"/>
    <w:rsid w:val="00977981"/>
    <w:rsid w:val="0098121C"/>
    <w:rsid w:val="0098788C"/>
    <w:rsid w:val="0099282D"/>
    <w:rsid w:val="009964FC"/>
    <w:rsid w:val="009A10B9"/>
    <w:rsid w:val="009D700F"/>
    <w:rsid w:val="009E19CF"/>
    <w:rsid w:val="009E1A9E"/>
    <w:rsid w:val="009E2B34"/>
    <w:rsid w:val="009F15B0"/>
    <w:rsid w:val="00A31B43"/>
    <w:rsid w:val="00A32267"/>
    <w:rsid w:val="00A464EC"/>
    <w:rsid w:val="00A57D3A"/>
    <w:rsid w:val="00A856A9"/>
    <w:rsid w:val="00AF33FB"/>
    <w:rsid w:val="00B0263D"/>
    <w:rsid w:val="00B172F8"/>
    <w:rsid w:val="00B43ACE"/>
    <w:rsid w:val="00B4587C"/>
    <w:rsid w:val="00B8461B"/>
    <w:rsid w:val="00B95602"/>
    <w:rsid w:val="00BB708A"/>
    <w:rsid w:val="00BD0185"/>
    <w:rsid w:val="00BD411F"/>
    <w:rsid w:val="00BE3BF7"/>
    <w:rsid w:val="00C05E1F"/>
    <w:rsid w:val="00C313D1"/>
    <w:rsid w:val="00C44F18"/>
    <w:rsid w:val="00C47FF9"/>
    <w:rsid w:val="00C53047"/>
    <w:rsid w:val="00C55890"/>
    <w:rsid w:val="00C856C1"/>
    <w:rsid w:val="00C8667B"/>
    <w:rsid w:val="00C96116"/>
    <w:rsid w:val="00CA664A"/>
    <w:rsid w:val="00CA7803"/>
    <w:rsid w:val="00CB19A6"/>
    <w:rsid w:val="00CC067A"/>
    <w:rsid w:val="00CC104C"/>
    <w:rsid w:val="00CE047F"/>
    <w:rsid w:val="00D00A35"/>
    <w:rsid w:val="00D044D9"/>
    <w:rsid w:val="00D14849"/>
    <w:rsid w:val="00D1765F"/>
    <w:rsid w:val="00D2752A"/>
    <w:rsid w:val="00D37F04"/>
    <w:rsid w:val="00D54DB7"/>
    <w:rsid w:val="00D61235"/>
    <w:rsid w:val="00D91EDA"/>
    <w:rsid w:val="00D97343"/>
    <w:rsid w:val="00DA4DBF"/>
    <w:rsid w:val="00DA67AE"/>
    <w:rsid w:val="00DB0A1A"/>
    <w:rsid w:val="00DC7BC8"/>
    <w:rsid w:val="00DD0A32"/>
    <w:rsid w:val="00DD0EF6"/>
    <w:rsid w:val="00DF0613"/>
    <w:rsid w:val="00DF0DF2"/>
    <w:rsid w:val="00DF2D5F"/>
    <w:rsid w:val="00E170CE"/>
    <w:rsid w:val="00E36B3A"/>
    <w:rsid w:val="00E40ECB"/>
    <w:rsid w:val="00E41972"/>
    <w:rsid w:val="00E4579D"/>
    <w:rsid w:val="00E5683B"/>
    <w:rsid w:val="00E57765"/>
    <w:rsid w:val="00E7651D"/>
    <w:rsid w:val="00E85D95"/>
    <w:rsid w:val="00E861C6"/>
    <w:rsid w:val="00EA6B36"/>
    <w:rsid w:val="00EA76A6"/>
    <w:rsid w:val="00ED350C"/>
    <w:rsid w:val="00EE13EC"/>
    <w:rsid w:val="00EF6CC5"/>
    <w:rsid w:val="00F129F8"/>
    <w:rsid w:val="00F23B00"/>
    <w:rsid w:val="00F30B60"/>
    <w:rsid w:val="00F5769D"/>
    <w:rsid w:val="00F6093F"/>
    <w:rsid w:val="00F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F4F8"/>
  <w15:chartTrackingRefBased/>
  <w15:docId w15:val="{C2F99626-9B76-4A05-9D59-97DC265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hruv\Progress\6_Oct\wk1\Classification%20Project\Deliverables\1_Memo\Services_me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hruv\Progress\6_Oct\wk1\Classification%20Project\Deliverables\1_Memo\Services_mem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hruv\Progress\6_Oct\wk1\Classification%20Project\Deliverables\1_Memo\Services_mem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[Services_memo.xlsx]Reading Scores!PivotTable1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  <a:r>
              <a:rPr lang="en-US" baseline="0"/>
              <a:t> Counts for Numeric Reading Scores: CASAS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'Reading Scores'!$B$3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'Reading Scores'!$A$4:$A$145</c:f>
              <c:strCache>
                <c:ptCount val="141"/>
                <c:pt idx="0">
                  <c:v>0</c:v>
                </c:pt>
                <c:pt idx="1">
                  <c:v>0.08</c:v>
                </c:pt>
                <c:pt idx="2">
                  <c:v>0.19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  <c:pt idx="9">
                  <c:v>1.1</c:v>
                </c:pt>
                <c:pt idx="10">
                  <c:v>1.3</c:v>
                </c:pt>
                <c:pt idx="11">
                  <c:v>1.5</c:v>
                </c:pt>
                <c:pt idx="12">
                  <c:v>1.6</c:v>
                </c:pt>
                <c:pt idx="13">
                  <c:v>1.7</c:v>
                </c:pt>
                <c:pt idx="14">
                  <c:v>1.8</c:v>
                </c:pt>
                <c:pt idx="15">
                  <c:v>1.9</c:v>
                </c:pt>
                <c:pt idx="16">
                  <c:v>2</c:v>
                </c:pt>
                <c:pt idx="17">
                  <c:v>2.1</c:v>
                </c:pt>
                <c:pt idx="18">
                  <c:v>2.3</c:v>
                </c:pt>
                <c:pt idx="19">
                  <c:v>2.4</c:v>
                </c:pt>
                <c:pt idx="20">
                  <c:v>2.5</c:v>
                </c:pt>
                <c:pt idx="21">
                  <c:v>2.6</c:v>
                </c:pt>
                <c:pt idx="22">
                  <c:v>2.7</c:v>
                </c:pt>
                <c:pt idx="23">
                  <c:v>2.9</c:v>
                </c:pt>
                <c:pt idx="24">
                  <c:v>3</c:v>
                </c:pt>
                <c:pt idx="25">
                  <c:v>3.1</c:v>
                </c:pt>
                <c:pt idx="26">
                  <c:v>3.3</c:v>
                </c:pt>
                <c:pt idx="27">
                  <c:v>3.4</c:v>
                </c:pt>
                <c:pt idx="28">
                  <c:v>3.5</c:v>
                </c:pt>
                <c:pt idx="29">
                  <c:v>3.7</c:v>
                </c:pt>
                <c:pt idx="30">
                  <c:v>3.9</c:v>
                </c:pt>
                <c:pt idx="31">
                  <c:v>4</c:v>
                </c:pt>
                <c:pt idx="32">
                  <c:v>4.1</c:v>
                </c:pt>
                <c:pt idx="33">
                  <c:v>4.3</c:v>
                </c:pt>
                <c:pt idx="34">
                  <c:v>4.4</c:v>
                </c:pt>
                <c:pt idx="35">
                  <c:v>4.5</c:v>
                </c:pt>
                <c:pt idx="36">
                  <c:v>4.7</c:v>
                </c:pt>
                <c:pt idx="37">
                  <c:v>4.9</c:v>
                </c:pt>
                <c:pt idx="38">
                  <c:v>5</c:v>
                </c:pt>
                <c:pt idx="39">
                  <c:v>5.1</c:v>
                </c:pt>
                <c:pt idx="40">
                  <c:v>5.3</c:v>
                </c:pt>
                <c:pt idx="41">
                  <c:v>5.4</c:v>
                </c:pt>
                <c:pt idx="42">
                  <c:v>5.5</c:v>
                </c:pt>
                <c:pt idx="43">
                  <c:v>5.7</c:v>
                </c:pt>
                <c:pt idx="44">
                  <c:v>5.9</c:v>
                </c:pt>
                <c:pt idx="45">
                  <c:v>6</c:v>
                </c:pt>
                <c:pt idx="46">
                  <c:v>6.1</c:v>
                </c:pt>
                <c:pt idx="47">
                  <c:v>6.3</c:v>
                </c:pt>
                <c:pt idx="48">
                  <c:v>6.5</c:v>
                </c:pt>
                <c:pt idx="49">
                  <c:v>6.7</c:v>
                </c:pt>
                <c:pt idx="50">
                  <c:v>6.9</c:v>
                </c:pt>
                <c:pt idx="51">
                  <c:v>7</c:v>
                </c:pt>
                <c:pt idx="52">
                  <c:v>7.1</c:v>
                </c:pt>
                <c:pt idx="53">
                  <c:v>7.2</c:v>
                </c:pt>
                <c:pt idx="54">
                  <c:v>7.3</c:v>
                </c:pt>
                <c:pt idx="55">
                  <c:v>7.4</c:v>
                </c:pt>
                <c:pt idx="56">
                  <c:v>7.5</c:v>
                </c:pt>
                <c:pt idx="57">
                  <c:v>7.7</c:v>
                </c:pt>
                <c:pt idx="58">
                  <c:v>7.9</c:v>
                </c:pt>
                <c:pt idx="59">
                  <c:v>8</c:v>
                </c:pt>
                <c:pt idx="60">
                  <c:v>8.1</c:v>
                </c:pt>
                <c:pt idx="61">
                  <c:v>8.3</c:v>
                </c:pt>
                <c:pt idx="62">
                  <c:v>8.5</c:v>
                </c:pt>
                <c:pt idx="63">
                  <c:v>8.7</c:v>
                </c:pt>
                <c:pt idx="64">
                  <c:v>8.8</c:v>
                </c:pt>
                <c:pt idx="65">
                  <c:v>8.9</c:v>
                </c:pt>
                <c:pt idx="66">
                  <c:v>9</c:v>
                </c:pt>
                <c:pt idx="67">
                  <c:v>9.1</c:v>
                </c:pt>
                <c:pt idx="68">
                  <c:v>9.3</c:v>
                </c:pt>
                <c:pt idx="69">
                  <c:v>9.5</c:v>
                </c:pt>
                <c:pt idx="70">
                  <c:v>9.7</c:v>
                </c:pt>
                <c:pt idx="71">
                  <c:v>9.9</c:v>
                </c:pt>
                <c:pt idx="72">
                  <c:v>10</c:v>
                </c:pt>
                <c:pt idx="73">
                  <c:v>10.1</c:v>
                </c:pt>
                <c:pt idx="74">
                  <c:v>10.3</c:v>
                </c:pt>
                <c:pt idx="75">
                  <c:v>10.5</c:v>
                </c:pt>
                <c:pt idx="76">
                  <c:v>10.7</c:v>
                </c:pt>
                <c:pt idx="77">
                  <c:v>10.9</c:v>
                </c:pt>
                <c:pt idx="78">
                  <c:v>11</c:v>
                </c:pt>
                <c:pt idx="79">
                  <c:v>11.1</c:v>
                </c:pt>
                <c:pt idx="80">
                  <c:v>11.3</c:v>
                </c:pt>
                <c:pt idx="81">
                  <c:v>11.5</c:v>
                </c:pt>
                <c:pt idx="82">
                  <c:v>11.9</c:v>
                </c:pt>
                <c:pt idx="83">
                  <c:v>12</c:v>
                </c:pt>
                <c:pt idx="84">
                  <c:v>12.1</c:v>
                </c:pt>
                <c:pt idx="85">
                  <c:v>12.3</c:v>
                </c:pt>
                <c:pt idx="86">
                  <c:v>12.5</c:v>
                </c:pt>
                <c:pt idx="87">
                  <c:v>12.9</c:v>
                </c:pt>
                <c:pt idx="88">
                  <c:v>13</c:v>
                </c:pt>
                <c:pt idx="89">
                  <c:v>15</c:v>
                </c:pt>
                <c:pt idx="90">
                  <c:v>17</c:v>
                </c:pt>
                <c:pt idx="91">
                  <c:v>19</c:v>
                </c:pt>
                <c:pt idx="92">
                  <c:v>22</c:v>
                </c:pt>
                <c:pt idx="93">
                  <c:v>23</c:v>
                </c:pt>
                <c:pt idx="94">
                  <c:v>25</c:v>
                </c:pt>
                <c:pt idx="95">
                  <c:v>26</c:v>
                </c:pt>
                <c:pt idx="96">
                  <c:v>27</c:v>
                </c:pt>
                <c:pt idx="97">
                  <c:v>28</c:v>
                </c:pt>
                <c:pt idx="98">
                  <c:v>29</c:v>
                </c:pt>
                <c:pt idx="99">
                  <c:v>30</c:v>
                </c:pt>
                <c:pt idx="100">
                  <c:v>31</c:v>
                </c:pt>
                <c:pt idx="101">
                  <c:v>35</c:v>
                </c:pt>
                <c:pt idx="102">
                  <c:v>49</c:v>
                </c:pt>
                <c:pt idx="103">
                  <c:v>70</c:v>
                </c:pt>
                <c:pt idx="104">
                  <c:v>77.7</c:v>
                </c:pt>
                <c:pt idx="105">
                  <c:v>88</c:v>
                </c:pt>
                <c:pt idx="106">
                  <c:v>88.8</c:v>
                </c:pt>
                <c:pt idx="107">
                  <c:v>89</c:v>
                </c:pt>
                <c:pt idx="108">
                  <c:v>99.9</c:v>
                </c:pt>
                <c:pt idx="109">
                  <c:v>100</c:v>
                </c:pt>
                <c:pt idx="110">
                  <c:v>110</c:v>
                </c:pt>
                <c:pt idx="111">
                  <c:v>230</c:v>
                </c:pt>
                <c:pt idx="112">
                  <c:v>231</c:v>
                </c:pt>
                <c:pt idx="113">
                  <c:v>232</c:v>
                </c:pt>
                <c:pt idx="114">
                  <c:v>235</c:v>
                </c:pt>
                <c:pt idx="115">
                  <c:v>239</c:v>
                </c:pt>
                <c:pt idx="116">
                  <c:v>242</c:v>
                </c:pt>
                <c:pt idx="117">
                  <c:v>243</c:v>
                </c:pt>
                <c:pt idx="118">
                  <c:v>251</c:v>
                </c:pt>
                <c:pt idx="119">
                  <c:v>256</c:v>
                </c:pt>
                <c:pt idx="120">
                  <c:v>600</c:v>
                </c:pt>
                <c:pt idx="121">
                  <c:v>700</c:v>
                </c:pt>
                <c:pt idx="122">
                  <c:v>800</c:v>
                </c:pt>
                <c:pt idx="123">
                  <c:v>900</c:v>
                </c:pt>
                <c:pt idx="124">
                  <c:v>1000</c:v>
                </c:pt>
                <c:pt idx="125">
                  <c:v>1010</c:v>
                </c:pt>
                <c:pt idx="126">
                  <c:v>1100</c:v>
                </c:pt>
                <c:pt idx="127">
                  <c:v>1111</c:v>
                </c:pt>
                <c:pt idx="128">
                  <c:v>1200</c:v>
                </c:pt>
                <c:pt idx="129">
                  <c:v>1212</c:v>
                </c:pt>
                <c:pt idx="130">
                  <c:v>1300</c:v>
                </c:pt>
                <c:pt idx="131">
                  <c:v>2222</c:v>
                </c:pt>
                <c:pt idx="132">
                  <c:v>4444</c:v>
                </c:pt>
                <c:pt idx="133">
                  <c:v>5555</c:v>
                </c:pt>
                <c:pt idx="134">
                  <c:v>6666</c:v>
                </c:pt>
                <c:pt idx="135">
                  <c:v>7000</c:v>
                </c:pt>
                <c:pt idx="136">
                  <c:v>7777</c:v>
                </c:pt>
                <c:pt idx="137">
                  <c:v>8000</c:v>
                </c:pt>
                <c:pt idx="138">
                  <c:v>8888</c:v>
                </c:pt>
                <c:pt idx="139">
                  <c:v>9000</c:v>
                </c:pt>
                <c:pt idx="140">
                  <c:v>9999</c:v>
                </c:pt>
              </c:strCache>
            </c:strRef>
          </c:cat>
          <c:val>
            <c:numRef>
              <c:f>'Reading Scores'!$B$4:$B$145</c:f>
              <c:numCache>
                <c:formatCode>General</c:formatCode>
                <c:ptCount val="141"/>
                <c:pt idx="0">
                  <c:v>831</c:v>
                </c:pt>
                <c:pt idx="1">
                  <c:v>33</c:v>
                </c:pt>
                <c:pt idx="2">
                  <c:v>8</c:v>
                </c:pt>
                <c:pt idx="3">
                  <c:v>52</c:v>
                </c:pt>
                <c:pt idx="4">
                  <c:v>139</c:v>
                </c:pt>
                <c:pt idx="5">
                  <c:v>206</c:v>
                </c:pt>
                <c:pt idx="6">
                  <c:v>676</c:v>
                </c:pt>
                <c:pt idx="7">
                  <c:v>701</c:v>
                </c:pt>
                <c:pt idx="8">
                  <c:v>433</c:v>
                </c:pt>
                <c:pt idx="9">
                  <c:v>7</c:v>
                </c:pt>
                <c:pt idx="10">
                  <c:v>11</c:v>
                </c:pt>
                <c:pt idx="11">
                  <c:v>8</c:v>
                </c:pt>
                <c:pt idx="12">
                  <c:v>15</c:v>
                </c:pt>
                <c:pt idx="13">
                  <c:v>36</c:v>
                </c:pt>
                <c:pt idx="14">
                  <c:v>10</c:v>
                </c:pt>
                <c:pt idx="15">
                  <c:v>9</c:v>
                </c:pt>
                <c:pt idx="16">
                  <c:v>219</c:v>
                </c:pt>
                <c:pt idx="17">
                  <c:v>3</c:v>
                </c:pt>
                <c:pt idx="18">
                  <c:v>35</c:v>
                </c:pt>
                <c:pt idx="19">
                  <c:v>4</c:v>
                </c:pt>
                <c:pt idx="20">
                  <c:v>41</c:v>
                </c:pt>
                <c:pt idx="21">
                  <c:v>4</c:v>
                </c:pt>
                <c:pt idx="22">
                  <c:v>12</c:v>
                </c:pt>
                <c:pt idx="23">
                  <c:v>47</c:v>
                </c:pt>
                <c:pt idx="24">
                  <c:v>1149</c:v>
                </c:pt>
                <c:pt idx="25">
                  <c:v>87</c:v>
                </c:pt>
                <c:pt idx="26">
                  <c:v>26</c:v>
                </c:pt>
                <c:pt idx="27">
                  <c:v>55</c:v>
                </c:pt>
                <c:pt idx="28">
                  <c:v>103</c:v>
                </c:pt>
                <c:pt idx="29">
                  <c:v>52</c:v>
                </c:pt>
                <c:pt idx="30">
                  <c:v>106</c:v>
                </c:pt>
                <c:pt idx="31">
                  <c:v>1440</c:v>
                </c:pt>
                <c:pt idx="32">
                  <c:v>62</c:v>
                </c:pt>
                <c:pt idx="33">
                  <c:v>95</c:v>
                </c:pt>
                <c:pt idx="34">
                  <c:v>57</c:v>
                </c:pt>
                <c:pt idx="35">
                  <c:v>168</c:v>
                </c:pt>
                <c:pt idx="36">
                  <c:v>64</c:v>
                </c:pt>
                <c:pt idx="37">
                  <c:v>118</c:v>
                </c:pt>
                <c:pt idx="38">
                  <c:v>2834</c:v>
                </c:pt>
                <c:pt idx="39">
                  <c:v>182</c:v>
                </c:pt>
                <c:pt idx="40">
                  <c:v>147</c:v>
                </c:pt>
                <c:pt idx="41">
                  <c:v>10</c:v>
                </c:pt>
                <c:pt idx="42">
                  <c:v>288</c:v>
                </c:pt>
                <c:pt idx="43">
                  <c:v>33</c:v>
                </c:pt>
                <c:pt idx="44">
                  <c:v>351</c:v>
                </c:pt>
                <c:pt idx="45">
                  <c:v>4803</c:v>
                </c:pt>
                <c:pt idx="46">
                  <c:v>250</c:v>
                </c:pt>
                <c:pt idx="47">
                  <c:v>254</c:v>
                </c:pt>
                <c:pt idx="48">
                  <c:v>104</c:v>
                </c:pt>
                <c:pt idx="49">
                  <c:v>384</c:v>
                </c:pt>
                <c:pt idx="50">
                  <c:v>319</c:v>
                </c:pt>
                <c:pt idx="51">
                  <c:v>7641</c:v>
                </c:pt>
                <c:pt idx="52">
                  <c:v>506</c:v>
                </c:pt>
                <c:pt idx="53">
                  <c:v>8</c:v>
                </c:pt>
                <c:pt idx="54">
                  <c:v>71</c:v>
                </c:pt>
                <c:pt idx="55">
                  <c:v>5</c:v>
                </c:pt>
                <c:pt idx="56">
                  <c:v>311</c:v>
                </c:pt>
                <c:pt idx="57">
                  <c:v>519</c:v>
                </c:pt>
                <c:pt idx="58">
                  <c:v>535</c:v>
                </c:pt>
                <c:pt idx="59">
                  <c:v>11461</c:v>
                </c:pt>
                <c:pt idx="60">
                  <c:v>273</c:v>
                </c:pt>
                <c:pt idx="61">
                  <c:v>413</c:v>
                </c:pt>
                <c:pt idx="62">
                  <c:v>502</c:v>
                </c:pt>
                <c:pt idx="63">
                  <c:v>313</c:v>
                </c:pt>
                <c:pt idx="64">
                  <c:v>18</c:v>
                </c:pt>
                <c:pt idx="65">
                  <c:v>533</c:v>
                </c:pt>
                <c:pt idx="66">
                  <c:v>12703</c:v>
                </c:pt>
                <c:pt idx="67">
                  <c:v>313</c:v>
                </c:pt>
                <c:pt idx="68">
                  <c:v>425</c:v>
                </c:pt>
                <c:pt idx="69">
                  <c:v>319</c:v>
                </c:pt>
                <c:pt idx="70">
                  <c:v>474</c:v>
                </c:pt>
                <c:pt idx="71">
                  <c:v>424</c:v>
                </c:pt>
                <c:pt idx="72">
                  <c:v>15467</c:v>
                </c:pt>
                <c:pt idx="73">
                  <c:v>365</c:v>
                </c:pt>
                <c:pt idx="74">
                  <c:v>332</c:v>
                </c:pt>
                <c:pt idx="75">
                  <c:v>570</c:v>
                </c:pt>
                <c:pt idx="76">
                  <c:v>104</c:v>
                </c:pt>
                <c:pt idx="77">
                  <c:v>271</c:v>
                </c:pt>
                <c:pt idx="78">
                  <c:v>11358</c:v>
                </c:pt>
                <c:pt idx="79">
                  <c:v>215</c:v>
                </c:pt>
                <c:pt idx="80">
                  <c:v>305</c:v>
                </c:pt>
                <c:pt idx="81">
                  <c:v>497</c:v>
                </c:pt>
                <c:pt idx="82">
                  <c:v>195</c:v>
                </c:pt>
                <c:pt idx="83">
                  <c:v>9166</c:v>
                </c:pt>
                <c:pt idx="84">
                  <c:v>113</c:v>
                </c:pt>
                <c:pt idx="85">
                  <c:v>7</c:v>
                </c:pt>
                <c:pt idx="86">
                  <c:v>16</c:v>
                </c:pt>
                <c:pt idx="87">
                  <c:v>306</c:v>
                </c:pt>
                <c:pt idx="88">
                  <c:v>3115</c:v>
                </c:pt>
                <c:pt idx="89">
                  <c:v>7</c:v>
                </c:pt>
                <c:pt idx="90">
                  <c:v>6</c:v>
                </c:pt>
                <c:pt idx="91">
                  <c:v>18</c:v>
                </c:pt>
                <c:pt idx="92">
                  <c:v>15</c:v>
                </c:pt>
                <c:pt idx="93">
                  <c:v>8</c:v>
                </c:pt>
                <c:pt idx="94">
                  <c:v>10</c:v>
                </c:pt>
                <c:pt idx="95">
                  <c:v>17</c:v>
                </c:pt>
                <c:pt idx="96">
                  <c:v>8</c:v>
                </c:pt>
                <c:pt idx="97">
                  <c:v>17</c:v>
                </c:pt>
                <c:pt idx="98">
                  <c:v>14</c:v>
                </c:pt>
                <c:pt idx="99">
                  <c:v>6</c:v>
                </c:pt>
                <c:pt idx="100">
                  <c:v>9</c:v>
                </c:pt>
                <c:pt idx="101">
                  <c:v>9</c:v>
                </c:pt>
                <c:pt idx="102">
                  <c:v>1</c:v>
                </c:pt>
                <c:pt idx="103">
                  <c:v>15</c:v>
                </c:pt>
                <c:pt idx="104">
                  <c:v>8</c:v>
                </c:pt>
                <c:pt idx="105">
                  <c:v>48</c:v>
                </c:pt>
                <c:pt idx="106">
                  <c:v>10</c:v>
                </c:pt>
                <c:pt idx="107">
                  <c:v>160</c:v>
                </c:pt>
                <c:pt idx="108">
                  <c:v>59</c:v>
                </c:pt>
                <c:pt idx="109">
                  <c:v>9</c:v>
                </c:pt>
                <c:pt idx="110">
                  <c:v>58</c:v>
                </c:pt>
                <c:pt idx="111">
                  <c:v>29</c:v>
                </c:pt>
                <c:pt idx="112">
                  <c:v>2</c:v>
                </c:pt>
                <c:pt idx="113">
                  <c:v>38</c:v>
                </c:pt>
                <c:pt idx="114">
                  <c:v>5</c:v>
                </c:pt>
                <c:pt idx="115">
                  <c:v>8</c:v>
                </c:pt>
                <c:pt idx="116">
                  <c:v>10</c:v>
                </c:pt>
                <c:pt idx="117">
                  <c:v>4</c:v>
                </c:pt>
                <c:pt idx="118">
                  <c:v>6</c:v>
                </c:pt>
                <c:pt idx="119">
                  <c:v>19</c:v>
                </c:pt>
                <c:pt idx="120">
                  <c:v>60</c:v>
                </c:pt>
                <c:pt idx="121">
                  <c:v>11</c:v>
                </c:pt>
                <c:pt idx="122">
                  <c:v>45</c:v>
                </c:pt>
                <c:pt idx="123">
                  <c:v>99</c:v>
                </c:pt>
                <c:pt idx="124">
                  <c:v>253</c:v>
                </c:pt>
                <c:pt idx="125">
                  <c:v>13</c:v>
                </c:pt>
                <c:pt idx="126">
                  <c:v>175</c:v>
                </c:pt>
                <c:pt idx="127">
                  <c:v>29</c:v>
                </c:pt>
                <c:pt idx="128">
                  <c:v>154</c:v>
                </c:pt>
                <c:pt idx="129">
                  <c:v>11</c:v>
                </c:pt>
                <c:pt idx="130">
                  <c:v>9</c:v>
                </c:pt>
                <c:pt idx="131">
                  <c:v>2</c:v>
                </c:pt>
                <c:pt idx="132">
                  <c:v>86</c:v>
                </c:pt>
                <c:pt idx="133">
                  <c:v>75</c:v>
                </c:pt>
                <c:pt idx="134">
                  <c:v>180</c:v>
                </c:pt>
                <c:pt idx="135">
                  <c:v>15</c:v>
                </c:pt>
                <c:pt idx="136">
                  <c:v>247</c:v>
                </c:pt>
                <c:pt idx="137">
                  <c:v>19</c:v>
                </c:pt>
                <c:pt idx="138">
                  <c:v>593</c:v>
                </c:pt>
                <c:pt idx="139">
                  <c:v>24</c:v>
                </c:pt>
                <c:pt idx="140">
                  <c:v>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18-4CAC-BD6F-F1DF5FFC7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9688976"/>
        <c:axId val="499691272"/>
      </c:barChart>
      <c:catAx>
        <c:axId val="49968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691272"/>
        <c:crosses val="autoZero"/>
        <c:auto val="1"/>
        <c:lblAlgn val="ctr"/>
        <c:lblOffset val="100"/>
        <c:noMultiLvlLbl val="0"/>
      </c:catAx>
      <c:valAx>
        <c:axId val="49969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68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[Services_memo.xlsx]Math Scores!PivotTable1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Counts for Numeric Math Scores: CASAS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'Math Scores'!$B$3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'Math Scores'!$A$4:$A$148</c:f>
              <c:strCache>
                <c:ptCount val="144"/>
                <c:pt idx="0">
                  <c:v>0</c:v>
                </c:pt>
                <c:pt idx="1">
                  <c:v>0.1</c:v>
                </c:pt>
                <c:pt idx="2">
                  <c:v>0.11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0.99</c:v>
                </c:pt>
                <c:pt idx="11">
                  <c:v>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2.3</c:v>
                </c:pt>
                <c:pt idx="22">
                  <c:v>2.5</c:v>
                </c:pt>
                <c:pt idx="23">
                  <c:v>2.7</c:v>
                </c:pt>
                <c:pt idx="24">
                  <c:v>2.8</c:v>
                </c:pt>
                <c:pt idx="25">
                  <c:v>2.9</c:v>
                </c:pt>
                <c:pt idx="26">
                  <c:v>3</c:v>
                </c:pt>
                <c:pt idx="27">
                  <c:v>3.1</c:v>
                </c:pt>
                <c:pt idx="28">
                  <c:v>3.2</c:v>
                </c:pt>
                <c:pt idx="29">
                  <c:v>3.3</c:v>
                </c:pt>
                <c:pt idx="30">
                  <c:v>3.5</c:v>
                </c:pt>
                <c:pt idx="31">
                  <c:v>3.7</c:v>
                </c:pt>
                <c:pt idx="32">
                  <c:v>3.8</c:v>
                </c:pt>
                <c:pt idx="33">
                  <c:v>3.9</c:v>
                </c:pt>
                <c:pt idx="34">
                  <c:v>4</c:v>
                </c:pt>
                <c:pt idx="35">
                  <c:v>4.1</c:v>
                </c:pt>
                <c:pt idx="36">
                  <c:v>4.3</c:v>
                </c:pt>
                <c:pt idx="37">
                  <c:v>4.4</c:v>
                </c:pt>
                <c:pt idx="38">
                  <c:v>4.5</c:v>
                </c:pt>
                <c:pt idx="39">
                  <c:v>4.7</c:v>
                </c:pt>
                <c:pt idx="40">
                  <c:v>4.9</c:v>
                </c:pt>
                <c:pt idx="41">
                  <c:v>5</c:v>
                </c:pt>
                <c:pt idx="42">
                  <c:v>5.1</c:v>
                </c:pt>
                <c:pt idx="43">
                  <c:v>5.2</c:v>
                </c:pt>
                <c:pt idx="44">
                  <c:v>5.3</c:v>
                </c:pt>
                <c:pt idx="45">
                  <c:v>5.5</c:v>
                </c:pt>
                <c:pt idx="46">
                  <c:v>5.7</c:v>
                </c:pt>
                <c:pt idx="47">
                  <c:v>5.9</c:v>
                </c:pt>
                <c:pt idx="48">
                  <c:v>6</c:v>
                </c:pt>
                <c:pt idx="49">
                  <c:v>6.1</c:v>
                </c:pt>
                <c:pt idx="50">
                  <c:v>6.3</c:v>
                </c:pt>
                <c:pt idx="51">
                  <c:v>6.5</c:v>
                </c:pt>
                <c:pt idx="52">
                  <c:v>6.6</c:v>
                </c:pt>
                <c:pt idx="53">
                  <c:v>6.7</c:v>
                </c:pt>
                <c:pt idx="54">
                  <c:v>6.9</c:v>
                </c:pt>
                <c:pt idx="55">
                  <c:v>7</c:v>
                </c:pt>
                <c:pt idx="56">
                  <c:v>7.1</c:v>
                </c:pt>
                <c:pt idx="57">
                  <c:v>7.3</c:v>
                </c:pt>
                <c:pt idx="58">
                  <c:v>7.4</c:v>
                </c:pt>
                <c:pt idx="59">
                  <c:v>7.5</c:v>
                </c:pt>
                <c:pt idx="60">
                  <c:v>7.6</c:v>
                </c:pt>
                <c:pt idx="61">
                  <c:v>7.7</c:v>
                </c:pt>
                <c:pt idx="62">
                  <c:v>7.9</c:v>
                </c:pt>
                <c:pt idx="63">
                  <c:v>8</c:v>
                </c:pt>
                <c:pt idx="64">
                  <c:v>8.1</c:v>
                </c:pt>
                <c:pt idx="65">
                  <c:v>8.3</c:v>
                </c:pt>
                <c:pt idx="66">
                  <c:v>8.4</c:v>
                </c:pt>
                <c:pt idx="67">
                  <c:v>8.5</c:v>
                </c:pt>
                <c:pt idx="68">
                  <c:v>8.6</c:v>
                </c:pt>
                <c:pt idx="69">
                  <c:v>8.7</c:v>
                </c:pt>
                <c:pt idx="70">
                  <c:v>8.8</c:v>
                </c:pt>
                <c:pt idx="71">
                  <c:v>8.9</c:v>
                </c:pt>
                <c:pt idx="72">
                  <c:v>9</c:v>
                </c:pt>
                <c:pt idx="73">
                  <c:v>9.1</c:v>
                </c:pt>
                <c:pt idx="74">
                  <c:v>9.3</c:v>
                </c:pt>
                <c:pt idx="75">
                  <c:v>9.5</c:v>
                </c:pt>
                <c:pt idx="76">
                  <c:v>9.7</c:v>
                </c:pt>
                <c:pt idx="77">
                  <c:v>9.9</c:v>
                </c:pt>
                <c:pt idx="78">
                  <c:v>10</c:v>
                </c:pt>
                <c:pt idx="79">
                  <c:v>10.1</c:v>
                </c:pt>
                <c:pt idx="80">
                  <c:v>10.3</c:v>
                </c:pt>
                <c:pt idx="81">
                  <c:v>10.5</c:v>
                </c:pt>
                <c:pt idx="82">
                  <c:v>10.7</c:v>
                </c:pt>
                <c:pt idx="83">
                  <c:v>10.9</c:v>
                </c:pt>
                <c:pt idx="84">
                  <c:v>11</c:v>
                </c:pt>
                <c:pt idx="85">
                  <c:v>11.1</c:v>
                </c:pt>
                <c:pt idx="86">
                  <c:v>11.3</c:v>
                </c:pt>
                <c:pt idx="87">
                  <c:v>11.7</c:v>
                </c:pt>
                <c:pt idx="88">
                  <c:v>11.9</c:v>
                </c:pt>
                <c:pt idx="89">
                  <c:v>12</c:v>
                </c:pt>
                <c:pt idx="90">
                  <c:v>12.1</c:v>
                </c:pt>
                <c:pt idx="91">
                  <c:v>12.7</c:v>
                </c:pt>
                <c:pt idx="92">
                  <c:v>12.9</c:v>
                </c:pt>
                <c:pt idx="93">
                  <c:v>13</c:v>
                </c:pt>
                <c:pt idx="94">
                  <c:v>15</c:v>
                </c:pt>
                <c:pt idx="95">
                  <c:v>16</c:v>
                </c:pt>
                <c:pt idx="96">
                  <c:v>17</c:v>
                </c:pt>
                <c:pt idx="97">
                  <c:v>19</c:v>
                </c:pt>
                <c:pt idx="98">
                  <c:v>20</c:v>
                </c:pt>
                <c:pt idx="99">
                  <c:v>21</c:v>
                </c:pt>
                <c:pt idx="100">
                  <c:v>22</c:v>
                </c:pt>
                <c:pt idx="101">
                  <c:v>24</c:v>
                </c:pt>
                <c:pt idx="102">
                  <c:v>31</c:v>
                </c:pt>
                <c:pt idx="103">
                  <c:v>33.3</c:v>
                </c:pt>
                <c:pt idx="104">
                  <c:v>55.5</c:v>
                </c:pt>
                <c:pt idx="105">
                  <c:v>66.6</c:v>
                </c:pt>
                <c:pt idx="106">
                  <c:v>77.7</c:v>
                </c:pt>
                <c:pt idx="107">
                  <c:v>88</c:v>
                </c:pt>
                <c:pt idx="108">
                  <c:v>88.8</c:v>
                </c:pt>
                <c:pt idx="109">
                  <c:v>89</c:v>
                </c:pt>
                <c:pt idx="110">
                  <c:v>90</c:v>
                </c:pt>
                <c:pt idx="111">
                  <c:v>99.9</c:v>
                </c:pt>
                <c:pt idx="112">
                  <c:v>100</c:v>
                </c:pt>
                <c:pt idx="113">
                  <c:v>215</c:v>
                </c:pt>
                <c:pt idx="114">
                  <c:v>227</c:v>
                </c:pt>
                <c:pt idx="115">
                  <c:v>228</c:v>
                </c:pt>
                <c:pt idx="116">
                  <c:v>230</c:v>
                </c:pt>
                <c:pt idx="117">
                  <c:v>231</c:v>
                </c:pt>
                <c:pt idx="118">
                  <c:v>232</c:v>
                </c:pt>
                <c:pt idx="119">
                  <c:v>235</c:v>
                </c:pt>
                <c:pt idx="120">
                  <c:v>236</c:v>
                </c:pt>
                <c:pt idx="121">
                  <c:v>248</c:v>
                </c:pt>
                <c:pt idx="122">
                  <c:v>500</c:v>
                </c:pt>
                <c:pt idx="123">
                  <c:v>600</c:v>
                </c:pt>
                <c:pt idx="124">
                  <c:v>700</c:v>
                </c:pt>
                <c:pt idx="125">
                  <c:v>800</c:v>
                </c:pt>
                <c:pt idx="126">
                  <c:v>900</c:v>
                </c:pt>
                <c:pt idx="127">
                  <c:v>1000</c:v>
                </c:pt>
                <c:pt idx="128">
                  <c:v>1100</c:v>
                </c:pt>
                <c:pt idx="129">
                  <c:v>1111</c:v>
                </c:pt>
                <c:pt idx="130">
                  <c:v>1200</c:v>
                </c:pt>
                <c:pt idx="131">
                  <c:v>1300</c:v>
                </c:pt>
                <c:pt idx="132">
                  <c:v>2222</c:v>
                </c:pt>
                <c:pt idx="133">
                  <c:v>3333</c:v>
                </c:pt>
                <c:pt idx="134">
                  <c:v>4444</c:v>
                </c:pt>
                <c:pt idx="135">
                  <c:v>5555</c:v>
                </c:pt>
                <c:pt idx="136">
                  <c:v>6000</c:v>
                </c:pt>
                <c:pt idx="137">
                  <c:v>6666</c:v>
                </c:pt>
                <c:pt idx="138">
                  <c:v>7000</c:v>
                </c:pt>
                <c:pt idx="139">
                  <c:v>7777</c:v>
                </c:pt>
                <c:pt idx="140">
                  <c:v>8000</c:v>
                </c:pt>
                <c:pt idx="141">
                  <c:v>8888</c:v>
                </c:pt>
                <c:pt idx="142">
                  <c:v>9000</c:v>
                </c:pt>
                <c:pt idx="143">
                  <c:v>9999</c:v>
                </c:pt>
              </c:strCache>
            </c:strRef>
          </c:cat>
          <c:val>
            <c:numRef>
              <c:f>'Math Scores'!$B$4:$B$148</c:f>
              <c:numCache>
                <c:formatCode>General</c:formatCode>
                <c:ptCount val="144"/>
                <c:pt idx="0">
                  <c:v>1221</c:v>
                </c:pt>
                <c:pt idx="1">
                  <c:v>34</c:v>
                </c:pt>
                <c:pt idx="2">
                  <c:v>33</c:v>
                </c:pt>
                <c:pt idx="3">
                  <c:v>73</c:v>
                </c:pt>
                <c:pt idx="4">
                  <c:v>57</c:v>
                </c:pt>
                <c:pt idx="5">
                  <c:v>228</c:v>
                </c:pt>
                <c:pt idx="6">
                  <c:v>229</c:v>
                </c:pt>
                <c:pt idx="7">
                  <c:v>348</c:v>
                </c:pt>
                <c:pt idx="8">
                  <c:v>789</c:v>
                </c:pt>
                <c:pt idx="9">
                  <c:v>736</c:v>
                </c:pt>
                <c:pt idx="10">
                  <c:v>10</c:v>
                </c:pt>
                <c:pt idx="11">
                  <c:v>985</c:v>
                </c:pt>
                <c:pt idx="12">
                  <c:v>16</c:v>
                </c:pt>
                <c:pt idx="13">
                  <c:v>79</c:v>
                </c:pt>
                <c:pt idx="14">
                  <c:v>19</c:v>
                </c:pt>
                <c:pt idx="15">
                  <c:v>14</c:v>
                </c:pt>
                <c:pt idx="16">
                  <c:v>191</c:v>
                </c:pt>
                <c:pt idx="17">
                  <c:v>61</c:v>
                </c:pt>
                <c:pt idx="18">
                  <c:v>104</c:v>
                </c:pt>
                <c:pt idx="19">
                  <c:v>817</c:v>
                </c:pt>
                <c:pt idx="20">
                  <c:v>67</c:v>
                </c:pt>
                <c:pt idx="21">
                  <c:v>216</c:v>
                </c:pt>
                <c:pt idx="22">
                  <c:v>78</c:v>
                </c:pt>
                <c:pt idx="23">
                  <c:v>260</c:v>
                </c:pt>
                <c:pt idx="24">
                  <c:v>5</c:v>
                </c:pt>
                <c:pt idx="25">
                  <c:v>317</c:v>
                </c:pt>
                <c:pt idx="26">
                  <c:v>2900</c:v>
                </c:pt>
                <c:pt idx="27">
                  <c:v>113</c:v>
                </c:pt>
                <c:pt idx="28">
                  <c:v>1</c:v>
                </c:pt>
                <c:pt idx="29">
                  <c:v>253</c:v>
                </c:pt>
                <c:pt idx="30">
                  <c:v>97</c:v>
                </c:pt>
                <c:pt idx="31">
                  <c:v>177</c:v>
                </c:pt>
                <c:pt idx="32">
                  <c:v>5</c:v>
                </c:pt>
                <c:pt idx="33">
                  <c:v>464</c:v>
                </c:pt>
                <c:pt idx="34">
                  <c:v>3394</c:v>
                </c:pt>
                <c:pt idx="35">
                  <c:v>112</c:v>
                </c:pt>
                <c:pt idx="36">
                  <c:v>446</c:v>
                </c:pt>
                <c:pt idx="37">
                  <c:v>99</c:v>
                </c:pt>
                <c:pt idx="38">
                  <c:v>150</c:v>
                </c:pt>
                <c:pt idx="39">
                  <c:v>439</c:v>
                </c:pt>
                <c:pt idx="40">
                  <c:v>621</c:v>
                </c:pt>
                <c:pt idx="41">
                  <c:v>6281</c:v>
                </c:pt>
                <c:pt idx="42">
                  <c:v>378</c:v>
                </c:pt>
                <c:pt idx="43">
                  <c:v>7</c:v>
                </c:pt>
                <c:pt idx="44">
                  <c:v>212</c:v>
                </c:pt>
                <c:pt idx="45">
                  <c:v>376</c:v>
                </c:pt>
                <c:pt idx="46">
                  <c:v>661</c:v>
                </c:pt>
                <c:pt idx="47">
                  <c:v>170</c:v>
                </c:pt>
                <c:pt idx="48">
                  <c:v>8271</c:v>
                </c:pt>
                <c:pt idx="49">
                  <c:v>558</c:v>
                </c:pt>
                <c:pt idx="50">
                  <c:v>378</c:v>
                </c:pt>
                <c:pt idx="51">
                  <c:v>526</c:v>
                </c:pt>
                <c:pt idx="52">
                  <c:v>62</c:v>
                </c:pt>
                <c:pt idx="53">
                  <c:v>549</c:v>
                </c:pt>
                <c:pt idx="54">
                  <c:v>265</c:v>
                </c:pt>
                <c:pt idx="55">
                  <c:v>11154</c:v>
                </c:pt>
                <c:pt idx="56">
                  <c:v>646</c:v>
                </c:pt>
                <c:pt idx="57">
                  <c:v>555</c:v>
                </c:pt>
                <c:pt idx="58">
                  <c:v>239</c:v>
                </c:pt>
                <c:pt idx="59">
                  <c:v>328</c:v>
                </c:pt>
                <c:pt idx="60">
                  <c:v>162</c:v>
                </c:pt>
                <c:pt idx="61">
                  <c:v>377</c:v>
                </c:pt>
                <c:pt idx="62">
                  <c:v>239</c:v>
                </c:pt>
                <c:pt idx="63">
                  <c:v>13932</c:v>
                </c:pt>
                <c:pt idx="64">
                  <c:v>181</c:v>
                </c:pt>
                <c:pt idx="65">
                  <c:v>291</c:v>
                </c:pt>
                <c:pt idx="66">
                  <c:v>101</c:v>
                </c:pt>
                <c:pt idx="67">
                  <c:v>167</c:v>
                </c:pt>
                <c:pt idx="68">
                  <c:v>37</c:v>
                </c:pt>
                <c:pt idx="69">
                  <c:v>321</c:v>
                </c:pt>
                <c:pt idx="70">
                  <c:v>56</c:v>
                </c:pt>
                <c:pt idx="71">
                  <c:v>194</c:v>
                </c:pt>
                <c:pt idx="72">
                  <c:v>12626</c:v>
                </c:pt>
                <c:pt idx="73">
                  <c:v>160</c:v>
                </c:pt>
                <c:pt idx="74">
                  <c:v>163</c:v>
                </c:pt>
                <c:pt idx="75">
                  <c:v>75</c:v>
                </c:pt>
                <c:pt idx="76">
                  <c:v>155</c:v>
                </c:pt>
                <c:pt idx="77">
                  <c:v>316</c:v>
                </c:pt>
                <c:pt idx="78">
                  <c:v>8794</c:v>
                </c:pt>
                <c:pt idx="79">
                  <c:v>81</c:v>
                </c:pt>
                <c:pt idx="80">
                  <c:v>38</c:v>
                </c:pt>
                <c:pt idx="81">
                  <c:v>111</c:v>
                </c:pt>
                <c:pt idx="82">
                  <c:v>107</c:v>
                </c:pt>
                <c:pt idx="83">
                  <c:v>4</c:v>
                </c:pt>
                <c:pt idx="84">
                  <c:v>4957</c:v>
                </c:pt>
                <c:pt idx="85">
                  <c:v>75</c:v>
                </c:pt>
                <c:pt idx="86">
                  <c:v>30</c:v>
                </c:pt>
                <c:pt idx="87">
                  <c:v>9</c:v>
                </c:pt>
                <c:pt idx="88">
                  <c:v>9</c:v>
                </c:pt>
                <c:pt idx="89">
                  <c:v>3091</c:v>
                </c:pt>
                <c:pt idx="90">
                  <c:v>87</c:v>
                </c:pt>
                <c:pt idx="91">
                  <c:v>34</c:v>
                </c:pt>
                <c:pt idx="92">
                  <c:v>6</c:v>
                </c:pt>
                <c:pt idx="93">
                  <c:v>1652</c:v>
                </c:pt>
                <c:pt idx="94">
                  <c:v>18</c:v>
                </c:pt>
                <c:pt idx="95">
                  <c:v>4</c:v>
                </c:pt>
                <c:pt idx="96">
                  <c:v>9</c:v>
                </c:pt>
                <c:pt idx="97">
                  <c:v>8</c:v>
                </c:pt>
                <c:pt idx="98">
                  <c:v>10</c:v>
                </c:pt>
                <c:pt idx="99">
                  <c:v>33</c:v>
                </c:pt>
                <c:pt idx="100">
                  <c:v>1</c:v>
                </c:pt>
                <c:pt idx="101">
                  <c:v>19</c:v>
                </c:pt>
                <c:pt idx="102">
                  <c:v>9</c:v>
                </c:pt>
                <c:pt idx="103">
                  <c:v>1</c:v>
                </c:pt>
                <c:pt idx="104">
                  <c:v>59</c:v>
                </c:pt>
                <c:pt idx="105">
                  <c:v>64</c:v>
                </c:pt>
                <c:pt idx="106">
                  <c:v>26</c:v>
                </c:pt>
                <c:pt idx="107">
                  <c:v>56</c:v>
                </c:pt>
                <c:pt idx="108">
                  <c:v>5</c:v>
                </c:pt>
                <c:pt idx="109">
                  <c:v>160</c:v>
                </c:pt>
                <c:pt idx="110">
                  <c:v>9</c:v>
                </c:pt>
                <c:pt idx="111">
                  <c:v>10</c:v>
                </c:pt>
                <c:pt idx="112">
                  <c:v>29</c:v>
                </c:pt>
                <c:pt idx="113">
                  <c:v>29</c:v>
                </c:pt>
                <c:pt idx="114">
                  <c:v>38</c:v>
                </c:pt>
                <c:pt idx="115">
                  <c:v>10</c:v>
                </c:pt>
                <c:pt idx="116">
                  <c:v>8</c:v>
                </c:pt>
                <c:pt idx="117">
                  <c:v>8</c:v>
                </c:pt>
                <c:pt idx="118">
                  <c:v>4</c:v>
                </c:pt>
                <c:pt idx="119">
                  <c:v>6</c:v>
                </c:pt>
                <c:pt idx="120">
                  <c:v>11</c:v>
                </c:pt>
                <c:pt idx="121">
                  <c:v>5</c:v>
                </c:pt>
                <c:pt idx="122">
                  <c:v>12</c:v>
                </c:pt>
                <c:pt idx="123">
                  <c:v>64</c:v>
                </c:pt>
                <c:pt idx="124">
                  <c:v>85</c:v>
                </c:pt>
                <c:pt idx="125">
                  <c:v>86</c:v>
                </c:pt>
                <c:pt idx="126">
                  <c:v>111</c:v>
                </c:pt>
                <c:pt idx="127">
                  <c:v>174</c:v>
                </c:pt>
                <c:pt idx="128">
                  <c:v>110</c:v>
                </c:pt>
                <c:pt idx="129">
                  <c:v>83</c:v>
                </c:pt>
                <c:pt idx="130">
                  <c:v>63</c:v>
                </c:pt>
                <c:pt idx="131">
                  <c:v>1</c:v>
                </c:pt>
                <c:pt idx="132">
                  <c:v>1</c:v>
                </c:pt>
                <c:pt idx="133">
                  <c:v>41</c:v>
                </c:pt>
                <c:pt idx="134">
                  <c:v>60</c:v>
                </c:pt>
                <c:pt idx="135">
                  <c:v>153</c:v>
                </c:pt>
                <c:pt idx="136">
                  <c:v>24</c:v>
                </c:pt>
                <c:pt idx="137">
                  <c:v>337</c:v>
                </c:pt>
                <c:pt idx="138">
                  <c:v>28</c:v>
                </c:pt>
                <c:pt idx="139">
                  <c:v>573</c:v>
                </c:pt>
                <c:pt idx="140">
                  <c:v>32</c:v>
                </c:pt>
                <c:pt idx="141">
                  <c:v>821</c:v>
                </c:pt>
                <c:pt idx="142">
                  <c:v>8</c:v>
                </c:pt>
                <c:pt idx="143">
                  <c:v>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9E-44C0-8159-2B4FCA624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659352"/>
        <c:axId val="483654760"/>
      </c:barChart>
      <c:catAx>
        <c:axId val="483659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4760"/>
        <c:crosses val="autoZero"/>
        <c:auto val="1"/>
        <c:lblAlgn val="ctr"/>
        <c:lblOffset val="100"/>
        <c:noMultiLvlLbl val="0"/>
      </c:catAx>
      <c:valAx>
        <c:axId val="48365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[Services_memo.xlsx]Education Level!PivotTable1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  <a:r>
              <a:rPr lang="en-US" baseline="0"/>
              <a:t> Counts of Education Level: Wagner Peyser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'Education Level'!$B$3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'Education Level'!$A$4:$A$26</c:f>
              <c:strCach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  <c:pt idx="21">
                  <c:v>91</c:v>
                </c:pt>
              </c:strCache>
            </c:strRef>
          </c:cat>
          <c:val>
            <c:numRef>
              <c:f>'Education Level'!$B$4:$B$26</c:f>
              <c:numCache>
                <c:formatCode>General</c:formatCode>
                <c:ptCount val="22"/>
                <c:pt idx="0">
                  <c:v>41</c:v>
                </c:pt>
                <c:pt idx="1">
                  <c:v>110</c:v>
                </c:pt>
                <c:pt idx="2">
                  <c:v>138</c:v>
                </c:pt>
                <c:pt idx="3">
                  <c:v>108</c:v>
                </c:pt>
                <c:pt idx="4">
                  <c:v>120</c:v>
                </c:pt>
                <c:pt idx="5">
                  <c:v>930</c:v>
                </c:pt>
                <c:pt idx="6">
                  <c:v>3157</c:v>
                </c:pt>
                <c:pt idx="7">
                  <c:v>7352</c:v>
                </c:pt>
                <c:pt idx="8">
                  <c:v>19341</c:v>
                </c:pt>
                <c:pt idx="9">
                  <c:v>42100</c:v>
                </c:pt>
                <c:pt idx="10">
                  <c:v>62117</c:v>
                </c:pt>
                <c:pt idx="11">
                  <c:v>30144</c:v>
                </c:pt>
                <c:pt idx="12">
                  <c:v>158171</c:v>
                </c:pt>
                <c:pt idx="13">
                  <c:v>162120</c:v>
                </c:pt>
                <c:pt idx="14">
                  <c:v>76305</c:v>
                </c:pt>
                <c:pt idx="15">
                  <c:v>287520</c:v>
                </c:pt>
                <c:pt idx="16">
                  <c:v>179928</c:v>
                </c:pt>
                <c:pt idx="17">
                  <c:v>5413749</c:v>
                </c:pt>
                <c:pt idx="18">
                  <c:v>1084160</c:v>
                </c:pt>
                <c:pt idx="19">
                  <c:v>4895</c:v>
                </c:pt>
                <c:pt idx="20">
                  <c:v>820350</c:v>
                </c:pt>
                <c:pt idx="21">
                  <c:v>440895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50-4692-A268-280DFADE2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672736"/>
        <c:axId val="488674704"/>
      </c:barChart>
      <c:catAx>
        <c:axId val="48867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674704"/>
        <c:crosses val="autoZero"/>
        <c:auto val="1"/>
        <c:lblAlgn val="ctr"/>
        <c:lblOffset val="100"/>
        <c:noMultiLvlLbl val="0"/>
      </c:catAx>
      <c:valAx>
        <c:axId val="48867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67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262</cp:revision>
  <dcterms:created xsi:type="dcterms:W3CDTF">2021-10-07T19:53:00Z</dcterms:created>
  <dcterms:modified xsi:type="dcterms:W3CDTF">2021-10-08T21:00:00Z</dcterms:modified>
</cp:coreProperties>
</file>