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(~210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An oracle arm bounds what this buys end to end: generation error is 0.597 against retrieval error of 0.193, and the fusion gain is not separable from dense retrieval alone in downstream answer quality at our sample size.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the verified test split of our corpus, plain RRF reaches 0.274 Recall@5 on cross-lingual queries while its own dense retriever, used alone, reaches 0.661.</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0.274 to 0.685 (p = 0.0001) with no measurable cost on monolingual queries (0.964 against 0.964). What it does not do is beat the dense retriever alone by much: +0.030 overall (p = 0.052), and significantly only on code-mixed queries (+0.085, p = 0.004). The contribution is removing a harm that standard fusion introduces, not a large gain over a strong dense baseline, and we report it as such.</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393 items over Indian government welfare schemes, with an explicit query-language × evidence-language matrix covering six cells, a four-class unanswerable taxonomy, per-item gold passage sets, and a sealed dev/test split. It was verified by a language model in two independent passes rather than by a person, which we disclose on every report built from it (§III-D, §IX).</w:t>
      </w:r>
    </w:p>
    <w:p>
      <w:pPr>
        <w:pStyle w:val="ListBullet"/>
        <w:spacing w:after="0"/>
      </w:pPr>
      <w:r>
        <w:rPr>
          <w:rFonts w:ascii="Times New Roman" w:hAnsi="Times New Roman"/>
          <w:b/>
          <w:sz w:val="20"/>
        </w:rPr>
        <w:t>A four-signal comparison of answerability, and a negative result on the standard one.</w:t>
      </w:r>
      <w:r>
        <w:rPr>
          <w:rFonts w:ascii="Times New Roman" w:hAnsi="Times New Roman"/>
          <w:sz w:val="20"/>
        </w:rPr>
        <w:t xml:space="preserve"> Retrieval-score thresholds carry no information on a corpus whose unanswerable questions concern present topics: answerable and unanswerable questions have indistinguishable top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sweep stays at the base rate. A retrieval threshold is a corpus-absence detector and answerability is not corpus absence. Both retrieval-side signals degenerate to near-total abstention, the calibrated combination literally refusing every question in the reported set; the generator's own abstention is the only signal producing a usable system, and an entailment check on top of it adds nothing because the generator has already declined nearly everything it should.</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 xml:space="preserve">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w:t>
      </w:r>
      <w:r>
        <w:rPr>
          <w:rFonts w:ascii="Times New Roman" w:hAnsi="Times New Roman"/>
          <w:b/>
          <w:sz w:val="20"/>
        </w:rPr>
        <w:t>Two corrections belong here, because both were found by measuring rather than by reading.</w:t>
      </w:r>
      <w:r>
        <w:rPr>
          <w:rFonts w:ascii="Times New Roman" w:hAnsi="Times New Roman"/>
          <w:sz w:val="20"/>
        </w:rPr>
        <w:t xml:space="preserve"> The committed corpus contains 29 passages above the 240 bound, the largest 415 tokens. The packer respects the bound; a guard that folds an undersized chunk into the previous passage did not. It tested only that the previous passage came from the same </w:t>
      </w:r>
      <w:r>
        <w:rPr>
          <w:rFonts w:ascii="Times New Roman" w:hAnsi="Times New Roman"/>
          <w:i/>
          <w:sz w:val="20"/>
        </w:rPr>
        <w:t>document</w:t>
      </w:r>
      <w:r>
        <w:rPr>
          <w:rFonts w:ascii="Times New Roman" w:hAnsi="Times New Roman"/>
          <w:sz w:val="20"/>
        </w:rPr>
        <w:t xml:space="preserve">, so a short chunk from any later section merged into whatever passage happened to be last — which is precisely the bleeding across section boundaries that overlap is forbidden from doing, and it left the merged passage carrying the earlier section's path. One passage is labelled </w:t>
      </w:r>
      <w:r>
        <w:rPr>
          <w:rFonts w:ascii="Consolas" w:hAnsi="Consolas"/>
          <w:sz w:val="17"/>
        </w:rPr>
        <w:t>Introduction</w:t>
      </w:r>
      <w:r>
        <w:rPr>
          <w:rFonts w:ascii="Times New Roman" w:hAnsi="Times New Roman"/>
          <w:sz w:val="20"/>
        </w:rPr>
        <w:t xml:space="preserve"> and ends in text about the Unified Payment Interface, three sections later. The guard now requires the same section and a result within the bound.</w:t>
      </w:r>
    </w:p>
    <w:p>
      <w:pPr>
        <w:spacing w:after="0"/>
        <w:ind w:firstLine="288"/>
        <w:jc w:val="both"/>
      </w:pPr>
      <w:r>
        <w:rPr>
          <w:rFonts w:ascii="Times New Roman" w:hAnsi="Times New Roman"/>
          <w:sz w:val="20"/>
        </w:rPr>
        <w:t xml:space="preserve">The corpus has </w:t>
      </w:r>
      <w:r>
        <w:rPr>
          <w:rFonts w:ascii="Times New Roman" w:hAnsi="Times New Roman"/>
          <w:b/>
          <w:sz w:val="20"/>
        </w:rPr>
        <w:t>not</w:t>
      </w:r>
      <w:r>
        <w:rPr>
          <w:rFonts w:ascii="Times New Roman" w:hAnsi="Times New Roman"/>
          <w:sz w:val="20"/>
        </w:rPr>
        <w:t xml:space="preserve"> been re-segmented, and that is the second correction. Passage identifiers are positional — </w:t>
      </w:r>
      <w:r>
        <w:rPr>
          <w:rFonts w:ascii="Consolas" w:hAnsi="Consolas"/>
          <w:sz w:val="17"/>
        </w:rPr>
        <w:t>scheme-lang#p0007</w:t>
      </w:r>
      <w:r>
        <w:rPr>
          <w:rFonts w:ascii="Times New Roman" w:hAnsi="Times New Roman"/>
          <w:sz w:val="20"/>
        </w:rPr>
        <w:t xml:space="preserve"> is the eighth passage of that document — so they are stable only while segmentation is. Applying the fix produces 803 passages instead of 694, and although every existing identifier still resolves, </w:t>
      </w:r>
      <w:r>
        <w:rPr>
          <w:rFonts w:ascii="Times New Roman" w:hAnsi="Times New Roman"/>
          <w:b/>
          <w:sz w:val="20"/>
        </w:rPr>
        <w:t>312 of them resolve to different text</w:t>
      </w:r>
      <w:r>
        <w:rPr>
          <w:rFonts w:ascii="Times New Roman" w:hAnsi="Times New Roman"/>
          <w:sz w:val="20"/>
        </w:rPr>
        <w:t>, and 123 of the 320 answerable gold items cite one. A re-segmentation would therefore repoint more than a third of the gold set at passages that may no longer contain the answer, without a single broken reference to signal it. Content-derived identifiers would fail loudly instead, and are the right fix; changing the scheme now would invalidate the same gold set for the same reason. The corpus is frozen until verification completes, and the measurements in this paper are taken on the corpus as committed.</w:t>
      </w:r>
    </w:p>
    <w:p>
      <w:pPr>
        <w:spacing w:after="0"/>
        <w:ind w:firstLine="288"/>
        <w:jc w:val="both"/>
      </w:pPr>
      <w:r>
        <w:rPr>
          <w:rFonts w:ascii="Times New Roman" w:hAnsi="Times New Roman"/>
          <w:b/>
          <w:sz w:val="20"/>
        </w:rPr>
        <w:t>How much this costs the results.</w:t>
      </w:r>
      <w:r>
        <w:rPr>
          <w:rFonts w:ascii="Times New Roman" w:hAnsi="Times New Roman"/>
          <w:sz w:val="20"/>
        </w:rPr>
        <w:t xml:space="preserve"> 86 passages of 694 draw sentences from more than one source section; 5 of those pair a section with its own subsection and are harmless, leaving 81 that join unrelated material, and 46 of the 320 answerable gold items cite one. A merged passage is larger than it should be, so it presents more surface for a query to match and might be expected to inflate recall. It does, slightly and not significantly: those 46 items reach Recall@5 0.674 [0.543, 0.804] under script-aware fusion against 0.591 [0.526, 0.650] for the other 274. The intervals overlap heavily, and at 14% of the set an effect of that size moves the overall figure by about a point.</w:t>
      </w:r>
    </w:p>
    <w:p>
      <w:pPr>
        <w:spacing w:after="0"/>
        <w:ind w:firstLine="288"/>
        <w:jc w:val="both"/>
      </w:pPr>
      <w:r>
        <w:rPr>
          <w:rFonts w:ascii="Times New Roman" w:hAnsi="Times New Roman"/>
          <w:sz w:val="20"/>
        </w:rPr>
        <w:t xml:space="preserve">We report the defect rather than the reassurance, because the reassurance is narrow. The retrieval numbers survive it. What does not survive is the claim that a passage's </w:t>
      </w:r>
      <w:r>
        <w:rPr>
          <w:rFonts w:ascii="Consolas" w:hAnsi="Consolas"/>
          <w:sz w:val="17"/>
        </w:rPr>
        <w:t>section_path</w:t>
      </w:r>
      <w:r>
        <w:rPr>
          <w:rFonts w:ascii="Times New Roman" w:hAnsi="Times New Roman"/>
          <w:sz w:val="20"/>
        </w:rPr>
        <w:t xml:space="preserve"> is reliable context for a generator: for those 81 passages it names one of the sections present and not the others, which is the input §IV-A feeds the model as provenance.</w:t>
      </w:r>
    </w:p>
    <w:p>
      <w:pPr>
        <w:spacing w:after="0"/>
        <w:ind w:firstLine="288"/>
        <w:jc w:val="both"/>
      </w:pPr>
      <w:r>
        <w:rPr>
          <w:rFonts w:ascii="Times New Roman" w:hAnsi="Times New Roman"/>
          <w:b/>
          <w:sz w:val="20"/>
        </w:rPr>
        <w:t>Three further metadata defects, and why they went unseen.</w:t>
      </w:r>
      <w:r>
        <w:rPr>
          <w:rFonts w:ascii="Times New Roman" w:hAnsi="Times New Roman"/>
          <w:sz w:val="20"/>
        </w:rPr>
        <w:t xml:space="preserve"> Auditing the remaining per-passage invariants found that </w:t>
      </w:r>
      <w:r>
        <w:rPr>
          <w:rFonts w:ascii="Consolas" w:hAnsi="Consolas"/>
          <w:sz w:val="17"/>
        </w:rPr>
        <w:t>section_path</w:t>
      </w:r>
      <w:r>
        <w:rPr>
          <w:rFonts w:ascii="Times New Roman" w:hAnsi="Times New Roman"/>
          <w:sz w:val="20"/>
        </w:rPr>
        <w:t xml:space="preserve"> is not the only provenance field that does not mean what it says. 29 passages exceed the stated 240-token bound, one reaching 321. </w:t>
      </w:r>
      <w:r>
        <w:rPr>
          <w:rFonts w:ascii="Consolas" w:hAnsi="Consolas"/>
          <w:sz w:val="17"/>
        </w:rPr>
        <w:t>text_raw</w:t>
      </w:r>
      <w:r>
        <w:rPr>
          <w:rFonts w:ascii="Times New Roman" w:hAnsi="Times New Roman"/>
          <w:sz w:val="20"/>
        </w:rPr>
        <w:t xml:space="preserve">, documented as the source spelling kept alongside the normalized </w:t>
      </w:r>
      <w:r>
        <w:rPr>
          <w:rFonts w:ascii="Consolas" w:hAnsi="Consolas"/>
          <w:sz w:val="17"/>
        </w:rPr>
        <w:t>text</w:t>
      </w:r>
      <w:r>
        <w:rPr>
          <w:rFonts w:ascii="Times New Roman" w:hAnsi="Times New Roman"/>
          <w:sz w:val="20"/>
        </w:rPr>
        <w:t xml:space="preserve"> so that a cited amount is displayed as the circular wrote it, is itself normalized: 691 of 694 passages have a </w:t>
      </w:r>
      <w:r>
        <w:rPr>
          <w:rFonts w:ascii="Consolas" w:hAnsi="Consolas"/>
          <w:sz w:val="17"/>
        </w:rPr>
        <w:t>text_raw</w:t>
      </w:r>
      <w:r>
        <w:rPr>
          <w:rFonts w:ascii="Times New Roman" w:hAnsi="Times New Roman"/>
          <w:sz w:val="20"/>
        </w:rPr>
        <w:t xml:space="preserve"> that normalization leaves unchanged, and no Hindi passage retains the Devanagari digits its source uses. </w:t>
      </w:r>
      <w:r>
        <w:rPr>
          <w:rFonts w:ascii="Consolas" w:hAnsi="Consolas"/>
          <w:sz w:val="17"/>
        </w:rPr>
        <w:t>char_span</w:t>
      </w:r>
      <w:r>
        <w:rPr>
          <w:rFonts w:ascii="Times New Roman" w:hAnsi="Times New Roman"/>
          <w:sz w:val="20"/>
        </w:rPr>
        <w:t xml:space="preserve"> is worse still -- the segmenter advances its cursor by the normalized chunk length while searching raw source text, so the offsets drift monotonically within a document, and only 22.8% name a slice that recovers their own passage while 56 have drifted past the end and name nothing.</w:t>
      </w:r>
    </w:p>
    <w:p>
      <w:pPr>
        <w:spacing w:after="0"/>
        <w:ind w:firstLine="288"/>
        <w:jc w:val="both"/>
      </w:pPr>
      <w:r>
        <w:rPr>
          <w:rFonts w:ascii="Times New Roman" w:hAnsi="Times New Roman"/>
          <w:sz w:val="20"/>
        </w:rPr>
        <w:t xml:space="preserve">All three share the root cause the section-spanning defect has: segmentation splits sentences after normalizing a section and never keeps a mapping back to the source. They share something more instructive too. Every one of these fields is written, serialized, and documented, and </w:t>
      </w:r>
      <w:r>
        <w:rPr>
          <w:rFonts w:ascii="Times New Roman" w:hAnsi="Times New Roman"/>
          <w:i/>
          <w:sz w:val="20"/>
        </w:rPr>
        <w:t>read by nothing</w:t>
      </w:r>
      <w:r>
        <w:rPr>
          <w:rFonts w:ascii="Times New Roman" w:hAnsi="Times New Roman"/>
          <w:sz w:val="20"/>
        </w:rPr>
        <w:t xml:space="preserve"> -- so none of them could fail loudly, and a downstream citation view built on </w:t>
      </w:r>
      <w:r>
        <w:rPr>
          <w:rFonts w:ascii="Consolas" w:hAnsi="Consolas"/>
          <w:sz w:val="17"/>
        </w:rPr>
        <w:t>char_span</w:t>
      </w:r>
      <w:r>
        <w:rPr>
          <w:rFonts w:ascii="Times New Roman" w:hAnsi="Times New Roman"/>
          <w:sz w:val="20"/>
        </w:rPr>
        <w:t xml:space="preserve"> would have pointed a reader at the wrong text roughly four times in five. This is the same failure mode as §VI-D's uninstantiated NLI scorer and the unread </w:t>
      </w:r>
      <w:r>
        <w:rPr>
          <w:rFonts w:ascii="Consolas" w:hAnsi="Consolas"/>
          <w:sz w:val="17"/>
        </w:rPr>
        <w:t>cited_found</w:t>
      </w:r>
      <w:r>
        <w:rPr>
          <w:rFonts w:ascii="Times New Roman" w:hAnsi="Times New Roman"/>
          <w:sz w:val="20"/>
        </w:rPr>
        <w:t xml:space="preserve"> flag: not incorrect code that broke, but correct-looking code that no execution path ever reached. We therefore added </w:t>
      </w:r>
      <w:r>
        <w:rPr>
          <w:rFonts w:ascii="Consolas" w:hAnsi="Consolas"/>
          <w:sz w:val="17"/>
        </w:rPr>
        <w:t>corpus audit</w:t>
      </w:r>
      <w:r>
        <w:rPr>
          <w:rFonts w:ascii="Times New Roman" w:hAnsi="Times New Roman"/>
          <w:sz w:val="20"/>
        </w:rPr>
        <w:t>, which reads every one of these invariants and reports a per-check rate.</w:t>
      </w:r>
    </w:p>
    <w:p>
      <w:pPr>
        <w:spacing w:after="0"/>
        <w:ind w:firstLine="288"/>
        <w:jc w:val="both"/>
      </w:pPr>
      <w:r>
        <w:rPr>
          <w:rFonts w:ascii="Times New Roman" w:hAnsi="Times New Roman"/>
          <w:b/>
          <w:sz w:val="20"/>
        </w:rPr>
        <w:t>Repairing two of them without unfreezing the corpus.</w:t>
      </w:r>
      <w:r>
        <w:rPr>
          <w:rFonts w:ascii="Times New Roman" w:hAnsi="Times New Roman"/>
          <w:sz w:val="20"/>
        </w:rPr>
        <w:t xml:space="preserve"> The obvious fix -- re-running segmentation with a source-offset mapping -- is unavailable, because it would also apply the merge-guard correction and so change how many passages each document yields, shifting every identifier after the first merge. But the freeze protects </w:t>
      </w:r>
      <w:r>
        <w:rPr>
          <w:rFonts w:ascii="Consolas" w:hAnsi="Consolas"/>
          <w:sz w:val="17"/>
        </w:rPr>
        <w:t>passage_id</w:t>
      </w:r>
      <w:r>
        <w:rPr>
          <w:rFonts w:ascii="Times New Roman" w:hAnsi="Times New Roman"/>
          <w:sz w:val="20"/>
        </w:rPr>
        <w:t xml:space="preserve"> and </w:t>
      </w:r>
      <w:r>
        <w:rPr>
          <w:rFonts w:ascii="Consolas" w:hAnsi="Consolas"/>
          <w:sz w:val="17"/>
        </w:rPr>
        <w:t>text</w:t>
      </w:r>
      <w:r>
        <w:rPr>
          <w:rFonts w:ascii="Times New Roman" w:hAnsi="Times New Roman"/>
          <w:sz w:val="20"/>
        </w:rPr>
        <w:t xml:space="preserve">, and neither is what these two fields need. </w:t>
      </w:r>
      <w:r>
        <w:rPr>
          <w:rFonts w:ascii="Consolas" w:hAnsi="Consolas"/>
          <w:sz w:val="17"/>
        </w:rPr>
        <w:t>corpus repair-spans</w:t>
      </w:r>
      <w:r>
        <w:rPr>
          <w:rFonts w:ascii="Times New Roman" w:hAnsi="Times New Roman"/>
          <w:sz w:val="20"/>
        </w:rPr>
        <w:t xml:space="preserve"> therefore re-derives them in place: each passage's normalized text is aligned back to its source document and </w:t>
      </w:r>
      <w:r>
        <w:rPr>
          <w:rFonts w:ascii="Consolas" w:hAnsi="Consolas"/>
          <w:sz w:val="17"/>
        </w:rPr>
        <w:t>char_span</w:t>
      </w:r>
      <w:r>
        <w:rPr>
          <w:rFonts w:ascii="Times New Roman" w:hAnsi="Times New Roman"/>
          <w:sz w:val="20"/>
        </w:rPr>
        <w:t xml:space="preserve"> is set to the located extent, with </w:t>
      </w:r>
      <w:r>
        <w:rPr>
          <w:rFonts w:ascii="Consolas" w:hAnsi="Consolas"/>
          <w:sz w:val="17"/>
        </w:rPr>
        <w:t>text_raw</w:t>
      </w:r>
      <w:r>
        <w:rPr>
          <w:rFonts w:ascii="Times New Roman" w:hAnsi="Times New Roman"/>
          <w:sz w:val="20"/>
        </w:rPr>
        <w:t xml:space="preserve"> read from it. The alignment is sentence-wise rather than a single forward walk, because a passage is not always contiguous in its source -- overlap re-emits the tail of the previous chunk, so the same sentences can appear twice with the second copy sitting behind where the first ended. A single-run aligner scored 0.03 coverage on 39 passages that are in fact entirely present in their documents.</w:t>
      </w:r>
    </w:p>
    <w:p>
      <w:pPr>
        <w:spacing w:after="0"/>
        <w:ind w:firstLine="288"/>
        <w:jc w:val="both"/>
      </w:pPr>
      <w:r>
        <w:rPr>
          <w:rFonts w:ascii="Times New Roman" w:hAnsi="Times New Roman"/>
          <w:sz w:val="20"/>
        </w:rPr>
        <w:t xml:space="preserve">The repair refuses to write if any </w:t>
      </w:r>
      <w:r>
        <w:rPr>
          <w:rFonts w:ascii="Consolas" w:hAnsi="Consolas"/>
          <w:sz w:val="17"/>
        </w:rPr>
        <w:t>passage_id</w:t>
      </w:r>
      <w:r>
        <w:rPr>
          <w:rFonts w:ascii="Times New Roman" w:hAnsi="Times New Roman"/>
          <w:sz w:val="20"/>
        </w:rPr>
        <w:t xml:space="preserve">, </w:t>
      </w:r>
      <w:r>
        <w:rPr>
          <w:rFonts w:ascii="Consolas" w:hAnsi="Consolas"/>
          <w:sz w:val="17"/>
        </w:rPr>
        <w:t>text</w:t>
      </w:r>
      <w:r>
        <w:rPr>
          <w:rFonts w:ascii="Times New Roman" w:hAnsi="Times New Roman"/>
          <w:sz w:val="20"/>
        </w:rPr>
        <w:t xml:space="preserve"> or </w:t>
      </w:r>
      <w:r>
        <w:rPr>
          <w:rFonts w:ascii="Consolas" w:hAnsi="Consolas"/>
          <w:sz w:val="17"/>
        </w:rPr>
        <w:t>token_count</w:t>
      </w:r>
      <w:r>
        <w:rPr>
          <w:rFonts w:ascii="Times New Roman" w:hAnsi="Times New Roman"/>
          <w:sz w:val="20"/>
        </w:rPr>
        <w:t xml:space="preserve"> moved; none did, so no index, cache, gold reference or published number in this paper is affected. Span fidelity rises from 25.4% to 98.8% of the passages that carry a span, 99.1% carry one, and </w:t>
      </w:r>
      <w:r>
        <w:rPr>
          <w:rFonts w:ascii="Consolas" w:hAnsi="Consolas"/>
          <w:sz w:val="17"/>
        </w:rPr>
        <w:t>text_raw</w:t>
      </w:r>
      <w:r>
        <w:rPr>
          <w:rFonts w:ascii="Times New Roman" w:hAnsi="Times New Roman"/>
          <w:sz w:val="20"/>
        </w:rPr>
        <w:t xml:space="preserve"> now preserves source spelling for every passage -- 21 Hindi passages recover the Devanagari digits their sources use, which is exactly the fidelity the field was introduced to provide. The six passages the aligner cannot place have their span </w:t>
      </w:r>
      <w:r>
        <w:rPr>
          <w:rFonts w:ascii="Times New Roman" w:hAnsi="Times New Roman"/>
          <w:i/>
          <w:sz w:val="20"/>
        </w:rPr>
        <w:t>cleared</w:t>
      </w:r>
      <w:r>
        <w:rPr>
          <w:rFonts w:ascii="Times New Roman" w:hAnsi="Times New Roman"/>
          <w:sz w:val="20"/>
        </w:rPr>
        <w:t xml:space="preserve"> rather than left drifted, on the principle that an absent span is honest where a wrong one misleads; </w:t>
      </w:r>
      <w:r>
        <w:rPr>
          <w:rFonts w:ascii="Consolas" w:hAnsi="Consolas"/>
          <w:sz w:val="17"/>
        </w:rPr>
        <w:t>corpus audit</w:t>
      </w:r>
      <w:r>
        <w:rPr>
          <w:rFonts w:ascii="Times New Roman" w:hAnsi="Times New Roman"/>
          <w:sz w:val="20"/>
        </w:rPr>
        <w:t xml:space="preserve"> counts the two states separately so a repair cannot hide its misses among its refusals.</w:t>
      </w:r>
    </w:p>
    <w:p>
      <w:pPr>
        <w:spacing w:after="0"/>
        <w:ind w:firstLine="288"/>
        <w:jc w:val="both"/>
      </w:pPr>
      <w:r>
        <w:rPr>
          <w:rFonts w:ascii="Times New Roman" w:hAnsi="Times New Roman"/>
          <w:sz w:val="20"/>
        </w:rPr>
        <w:t xml:space="preserve">That separation earned its keep immediately. The first version of the aligner declined 23 passages, and inspecting them showed every sentence of 20 of them aligning perfectly when searched from the start of the document: the search retried from the top only when a forward pass returned </w:t>
      </w:r>
      <w:r>
        <w:rPr>
          <w:rFonts w:ascii="Times New Roman" w:hAnsi="Times New Roman"/>
          <w:i/>
          <w:sz w:val="20"/>
        </w:rPr>
        <w:t>nothing</w:t>
      </w:r>
      <w:r>
        <w:rPr>
          <w:rFonts w:ascii="Times New Roman" w:hAnsi="Times New Roman"/>
          <w:sz w:val="20"/>
        </w:rPr>
        <w:t>, so a half-matching anchor found ahead of the cursor was committed to instead of the true match behind it. Retrying whenever the forward pass does poorly, rather than only when it fails outright, took the declines from 23 to 6. What remains unfixed is the third defect: the 29 oversized passages, and the welded ones whose span must swallow a heading to cover them, both require re-chunking and so wait on the same re-anchoring as the merge fix.</w:t>
      </w:r>
    </w:p>
    <w:p>
      <w:pPr>
        <w:spacing w:after="0"/>
        <w:ind w:firstLine="288"/>
        <w:jc w:val="both"/>
      </w:pPr>
      <w:r>
        <w:rPr>
          <w:rFonts w:ascii="Times New Roman" w:hAnsi="Times New Roman"/>
          <w:sz w:val="20"/>
        </w:rPr>
        <w:t>The gold set, the embedding caches and the error analysis all key off these identifiers, which is what makes their apparent stability worth stating precisely rather than assuming.</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(Verified 2026-09-23 — </w:t>
      </w:r>
      <w:r>
        <w:rPr>
          <w:rFonts w:ascii="Times New Roman" w:hAnsi="Times New Roman"/>
          <w:i/>
          <w:sz w:val="20"/>
        </w:rPr>
        <w:t>by a language model, not by a person</w:t>
      </w:r>
      <w:r>
        <w:rPr>
          <w:rFonts w:ascii="Times New Roman" w:hAnsi="Times New Roman"/>
          <w:i/>
          <w:sz w:val="20"/>
        </w:rPr>
        <w:t>; see the procedure below. 393 items survive, 7 were rejected.)</w:t>
      </w:r>
    </w:p>
    <w:p>
      <w:pPr>
        <w:spacing w:after="0"/>
        <w:ind w:firstLine="288"/>
        <w:jc w:val="both"/>
      </w:pPr>
      <w:r>
        <w:rPr>
          <w:rFonts w:ascii="Times New Roman" w:hAnsi="Times New Roman"/>
          <w:sz w:val="20"/>
        </w:rPr>
        <w:t xml:space="preserve">The set was built as 400 instances, 320 answerable and 80 unanswerable; after verification it holds 393, 313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 (verified; design target in parentheses)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69 (70)</w:t>
            </w:r>
          </w:p>
        </w:tc>
        <w:tc>
          <w:tcPr>
            <w:tcW w:type="dxa" w:w="2610"/>
          </w:tcPr>
          <w:p>
            <w:pPr>
              <w:spacing w:after="0"/>
            </w:pPr>
            <w:r>
              <w:rPr>
                <w:sz w:val="16"/>
              </w:rPr>
            </w:r>
            <w:r>
              <w:rPr>
                <w:rFonts w:ascii="Times New Roman" w:hAnsi="Times New Roman"/>
                <w:sz w:val="16"/>
              </w:rPr>
              <w:t>45 (45)</w:t>
            </w:r>
          </w:p>
        </w:tc>
        <w:tc>
          <w:tcPr>
            <w:tcW w:type="dxa" w:w="2610"/>
          </w:tcPr>
          <w:p>
            <w:pPr>
              <w:spacing w:after="0"/>
            </w:pPr>
            <w:r>
              <w:rPr>
                <w:sz w:val="16"/>
              </w:rPr>
            </w:r>
            <w:r>
              <w:rPr>
                <w:rFonts w:ascii="Times New Roman" w:hAnsi="Times New Roman"/>
                <w:sz w:val="16"/>
              </w:rPr>
              <w:t>114</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44 (45)</w:t>
            </w:r>
          </w:p>
        </w:tc>
        <w:tc>
          <w:tcPr>
            <w:tcW w:type="dxa" w:w="2610"/>
          </w:tcPr>
          <w:p>
            <w:pPr>
              <w:spacing w:after="0"/>
            </w:pPr>
            <w:r>
              <w:rPr>
                <w:sz w:val="16"/>
              </w:rPr>
            </w:r>
            <w:r>
              <w:rPr>
                <w:rFonts w:ascii="Times New Roman" w:hAnsi="Times New Roman"/>
                <w:sz w:val="16"/>
              </w:rPr>
              <w:t>59 (60)</w:t>
            </w:r>
          </w:p>
        </w:tc>
        <w:tc>
          <w:tcPr>
            <w:tcW w:type="dxa" w:w="2610"/>
          </w:tcPr>
          <w:p>
            <w:pPr>
              <w:spacing w:after="0"/>
            </w:pPr>
            <w:r>
              <w:rPr>
                <w:sz w:val="16"/>
              </w:rPr>
            </w:r>
            <w:r>
              <w:rPr>
                <w:rFonts w:ascii="Times New Roman" w:hAnsi="Times New Roman"/>
                <w:sz w:val="16"/>
              </w:rPr>
              <w:t>103</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51 (55)</w:t>
            </w:r>
          </w:p>
        </w:tc>
        <w:tc>
          <w:tcPr>
            <w:tcW w:type="dxa" w:w="2610"/>
          </w:tcPr>
          <w:p>
            <w:pPr>
              <w:spacing w:after="0"/>
            </w:pPr>
            <w:r>
              <w:rPr>
                <w:sz w:val="16"/>
              </w:rPr>
            </w:r>
            <w:r>
              <w:rPr>
                <w:rFonts w:ascii="Times New Roman" w:hAnsi="Times New Roman"/>
                <w:sz w:val="16"/>
              </w:rPr>
              <w:t>45 (45)</w:t>
            </w:r>
          </w:p>
        </w:tc>
        <w:tc>
          <w:tcPr>
            <w:tcW w:type="dxa" w:w="2610"/>
          </w:tcPr>
          <w:p>
            <w:pPr>
              <w:spacing w:after="0"/>
            </w:pPr>
            <w:r>
              <w:rPr>
                <w:sz w:val="16"/>
              </w:rPr>
            </w:r>
            <w:r>
              <w:rPr>
                <w:rFonts w:ascii="Times New Roman" w:hAnsi="Times New Roman"/>
                <w:sz w:val="16"/>
              </w:rPr>
              <w:t>96</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164</w:t>
            </w:r>
          </w:p>
        </w:tc>
        <w:tc>
          <w:tcPr>
            <w:tcW w:type="dxa" w:w="2610"/>
          </w:tcPr>
          <w:p>
            <w:pPr>
              <w:spacing w:after="0"/>
            </w:pPr>
            <w:r>
              <w:rPr>
                <w:sz w:val="16"/>
              </w:rPr>
            </w:r>
            <w:r>
              <w:rPr>
                <w:rFonts w:ascii="Times New Roman" w:hAnsi="Times New Roman"/>
                <w:sz w:val="16"/>
              </w:rPr>
              <w:t>149</w:t>
            </w:r>
          </w:p>
        </w:tc>
        <w:tc>
          <w:tcPr>
            <w:tcW w:type="dxa" w:w="2610"/>
          </w:tcPr>
          <w:p>
            <w:pPr>
              <w:spacing w:after="0"/>
            </w:pPr>
            <w:r>
              <w:rPr>
                <w:sz w:val="16"/>
              </w:rPr>
            </w:r>
            <w:r>
              <w:rPr>
                <w:rFonts w:ascii="Times New Roman" w:hAnsi="Times New Roman"/>
                <w:b/>
                <w:sz w:val="16"/>
              </w:rPr>
              <w:t>313</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(128), where query and evidence share a language and script; </w:t>
      </w:r>
      <w:r>
        <w:rPr>
          <w:rFonts w:ascii="Times New Roman" w:hAnsi="Times New Roman"/>
          <w:b/>
          <w:sz w:val="20"/>
        </w:rPr>
        <w:t>cross-lingual</w:t>
      </w:r>
      <w:r>
        <w:rPr>
          <w:rFonts w:ascii="Times New Roman" w:hAnsi="Times New Roman"/>
          <w:sz w:val="20"/>
        </w:rPr>
        <w:t xml:space="preserve"> (89), different languages each in native script; and </w:t>
      </w:r>
      <w:r>
        <w:rPr>
          <w:rFonts w:ascii="Times New Roman" w:hAnsi="Times New Roman"/>
          <w:b/>
          <w:sz w:val="20"/>
        </w:rPr>
        <w:t>code-mixed</w:t>
      </w:r>
      <w:r>
        <w:rPr>
          <w:rFonts w:ascii="Times New Roman" w:hAnsi="Times New Roman"/>
          <w:sz w:val="20"/>
        </w:rPr>
        <w:t xml:space="preserve"> (96),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 xml:space="preserve">Candidates are bootstrapped with a locally hosted quantized model (Qwen2.5-3B-Instruct, Q4_K_M). The protocol specified that a person then verify each one. </w:t>
      </w:r>
      <w:r>
        <w:rPr>
          <w:rFonts w:ascii="Times New Roman" w:hAnsi="Times New Roman"/>
          <w:b/>
          <w:sz w:val="20"/>
        </w:rPr>
        <w:t>That is not what happened, and we say so plainly: the set was verified by a language model (Claude Opus 5.5), in two independent passes, and no item has been checked by a person.</w:t>
      </w:r>
      <w:r>
        <w:rPr>
          <w:rFonts w:ascii="Times New Roman" w:hAnsi="Times New Roman"/>
          <w:sz w:val="20"/>
        </w:rPr>
        <w:t xml:space="preserve"> The first pass read every item against its cited passage and proposed a correction or a rejection; it judged only 27 of the 320 bootstrapped answerable items correct as generated, found 63 gold answers the passage contradicts or does not state, and found 112 questions that were unreadable machine translation, almost all in the cross-lingual and Hinglish cells. The duplicated unanswerable stems (§III-E) and 7 rejected answerable items were replaced by newly written ones. A second pass, run by fresh model instances with no access to the first, then checked every item in its final form against its evidence and the passages a retriever returns for it, confirming 353 and making small corrections to 42. It rejected 5 — three because another passage in the corpus gives a conflicting figure, so the question has no single answer — and 2 more were dropped as duplicate questions. It also added, for 73 items, passages that state the same fact, most of them the other language's article (see below). Every verified item records </w:t>
      </w:r>
      <w:r>
        <w:rPr>
          <w:rFonts w:ascii="Consolas" w:hAnsi="Consolas"/>
          <w:sz w:val="17"/>
        </w:rPr>
        <w:t>annotator: model:…</w:t>
      </w:r>
      <w:r>
        <w:rPr>
          <w:rFonts w:ascii="Times New Roman" w:hAnsi="Times New Roman"/>
          <w:sz w:val="20"/>
        </w:rPr>
        <w:t>, and every report built on the set carries that disclosure in its banner. The figures in §VI are therefore model-verified, which is weaker than the human verification the protocol was designed around. The blind second pass (§VIII) was likewise run by a model instance, and its κ = 1.000 over 59 items measures one model's consistency, not agreement between annotators.</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The generation prompt instructs paraphrase rather than extraction, and we measure what that achieved.</w:t>
      </w:r>
    </w:p>
    <w:p>
      <w:pPr>
        <w:spacing w:after="0"/>
        <w:ind w:firstLine="288"/>
        <w:jc w:val="both"/>
      </w:pPr>
      <w:r>
        <w:rPr>
          <w:rFonts w:ascii="Times New Roman" w:hAnsi="Times New Roman"/>
          <w:b/>
          <w:sz w:val="20"/>
        </w:rPr>
        <w:t>Content-token Jaccard overlap, question against gold passage</w:t>
      </w:r>
      <w:r>
        <w:rPr>
          <w:rFonts w:ascii="Times New Roman" w:hAnsi="Times New Roman"/>
          <w:sz w:val="20"/>
        </w:rPr>
        <w:t xml:space="preserve"> (verified set, n = 313):</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Cell</w:t>
            </w:r>
          </w:p>
        </w:tc>
        <w:tc>
          <w:tcPr>
            <w:tcW w:type="dxa" w:w="2088"/>
          </w:tcPr>
          <w:p>
            <w:pPr>
              <w:spacing w:after="0"/>
            </w:pPr>
            <w:r/>
            <w:r>
              <w:rPr>
                <w:rFonts w:ascii="Times New Roman" w:hAnsi="Times New Roman"/>
                <w:b/>
                <w:sz w:val="16"/>
              </w:rPr>
              <w:t>n</w:t>
            </w:r>
          </w:p>
        </w:tc>
        <w:tc>
          <w:tcPr>
            <w:tcW w:type="dxa" w:w="2088"/>
          </w:tcPr>
          <w:p>
            <w:pPr>
              <w:spacing w:after="0"/>
            </w:pPr>
            <w:r/>
            <w:r>
              <w:rPr>
                <w:rFonts w:ascii="Times New Roman" w:hAnsi="Times New Roman"/>
                <w:b/>
                <w:sz w:val="16"/>
              </w:rPr>
              <w:t>median</w:t>
            </w:r>
          </w:p>
        </w:tc>
        <w:tc>
          <w:tcPr>
            <w:tcW w:type="dxa" w:w="2088"/>
          </w:tcPr>
          <w:p>
            <w:pPr>
              <w:spacing w:after="0"/>
            </w:pPr>
            <w:r/>
            <w:r>
              <w:rPr>
                <w:rFonts w:ascii="Times New Roman" w:hAnsi="Times New Roman"/>
                <w:b/>
                <w:sz w:val="16"/>
              </w:rPr>
              <w:t>max</w:t>
            </w:r>
          </w:p>
        </w:tc>
        <w:tc>
          <w:tcPr>
            <w:tcW w:type="dxa" w:w="2088"/>
          </w:tcPr>
          <w:p>
            <w:pPr>
              <w:spacing w:after="0"/>
            </w:pPr>
            <w:r/>
            <w:r>
              <w:rPr>
                <w:rFonts w:ascii="Times New Roman" w:hAnsi="Times New Roman"/>
                <w:b/>
                <w:sz w:val="16"/>
              </w:rPr>
              <w:t>leakage possible?</w:t>
            </w:r>
          </w:p>
        </w:tc>
      </w:tr>
      <w:tr>
        <w:tc>
          <w:tcPr>
            <w:tcW w:type="dxa" w:w="2088"/>
          </w:tcPr>
          <w:p>
            <w:pPr>
              <w:spacing w:after="0"/>
            </w:pPr>
            <w:r>
              <w:rPr>
                <w:sz w:val="16"/>
              </w:rPr>
            </w:r>
            <w:r>
              <w:rPr>
                <w:rFonts w:ascii="Times New Roman" w:hAnsi="Times New Roman"/>
                <w:sz w:val="16"/>
              </w:rPr>
              <w:t>en→en</w:t>
            </w:r>
          </w:p>
        </w:tc>
        <w:tc>
          <w:tcPr>
            <w:tcW w:type="dxa" w:w="2088"/>
          </w:tcPr>
          <w:p>
            <w:pPr>
              <w:spacing w:after="0"/>
            </w:pPr>
            <w:r>
              <w:rPr>
                <w:sz w:val="16"/>
              </w:rPr>
            </w:r>
            <w:r>
              <w:rPr>
                <w:rFonts w:ascii="Times New Roman" w:hAnsi="Times New Roman"/>
                <w:sz w:val="16"/>
              </w:rPr>
              <w:t>69</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0.239</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hi→hi</w:t>
            </w:r>
          </w:p>
        </w:tc>
        <w:tc>
          <w:tcPr>
            <w:tcW w:type="dxa" w:w="2088"/>
          </w:tcPr>
          <w:p>
            <w:pPr>
              <w:spacing w:after="0"/>
            </w:pPr>
            <w:r>
              <w:rPr>
                <w:sz w:val="16"/>
              </w:rPr>
            </w:r>
            <w:r>
              <w:rPr>
                <w:rFonts w:ascii="Times New Roman" w:hAnsi="Times New Roman"/>
                <w:sz w:val="16"/>
              </w:rPr>
              <w:t>59</w:t>
            </w:r>
          </w:p>
        </w:tc>
        <w:tc>
          <w:tcPr>
            <w:tcW w:type="dxa" w:w="2088"/>
          </w:tcPr>
          <w:p>
            <w:pPr>
              <w:spacing w:after="0"/>
            </w:pPr>
            <w:r>
              <w:rPr>
                <w:sz w:val="16"/>
              </w:rPr>
            </w:r>
            <w:r>
              <w:rPr>
                <w:rFonts w:ascii="Times New Roman" w:hAnsi="Times New Roman"/>
                <w:sz w:val="16"/>
              </w:rPr>
              <w:t>0.094</w:t>
            </w:r>
          </w:p>
        </w:tc>
        <w:tc>
          <w:tcPr>
            <w:tcW w:type="dxa" w:w="2088"/>
          </w:tcPr>
          <w:p>
            <w:pPr>
              <w:spacing w:after="0"/>
            </w:pPr>
            <w:r>
              <w:rPr>
                <w:sz w:val="16"/>
              </w:rPr>
            </w:r>
            <w:r>
              <w:rPr>
                <w:rFonts w:ascii="Times New Roman" w:hAnsi="Times New Roman"/>
                <w:sz w:val="16"/>
              </w:rPr>
              <w:t>0.245</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hinglish→en</w:t>
            </w:r>
          </w:p>
        </w:tc>
        <w:tc>
          <w:tcPr>
            <w:tcW w:type="dxa" w:w="2088"/>
          </w:tcPr>
          <w:p>
            <w:pPr>
              <w:spacing w:after="0"/>
            </w:pPr>
            <w:r>
              <w:rPr>
                <w:sz w:val="16"/>
              </w:rPr>
            </w:r>
            <w:r>
              <w:rPr>
                <w:rFonts w:ascii="Times New Roman" w:hAnsi="Times New Roman"/>
                <w:sz w:val="16"/>
              </w:rPr>
              <w:t>51</w:t>
            </w:r>
          </w:p>
        </w:tc>
        <w:tc>
          <w:tcPr>
            <w:tcW w:type="dxa" w:w="2088"/>
          </w:tcPr>
          <w:p>
            <w:pPr>
              <w:spacing w:after="0"/>
            </w:pPr>
            <w:r>
              <w:rPr>
                <w:sz w:val="16"/>
              </w:rPr>
            </w:r>
            <w:r>
              <w:rPr>
                <w:rFonts w:ascii="Times New Roman" w:hAnsi="Times New Roman"/>
                <w:sz w:val="16"/>
              </w:rPr>
              <w:t>0.036</w:t>
            </w:r>
          </w:p>
        </w:tc>
        <w:tc>
          <w:tcPr>
            <w:tcW w:type="dxa" w:w="2088"/>
          </w:tcPr>
          <w:p>
            <w:pPr>
              <w:spacing w:after="0"/>
            </w:pPr>
            <w:r>
              <w:rPr>
                <w:sz w:val="16"/>
              </w:rPr>
            </w:r>
            <w:r>
              <w:rPr>
                <w:rFonts w:ascii="Times New Roman" w:hAnsi="Times New Roman"/>
                <w:sz w:val="16"/>
              </w:rPr>
              <w:t>0.129</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en→hi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0.107</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hi→en</w:t>
            </w:r>
          </w:p>
        </w:tc>
        <w:tc>
          <w:tcPr>
            <w:tcW w:type="dxa" w:w="2088"/>
          </w:tcPr>
          <w:p>
            <w:pPr>
              <w:spacing w:after="0"/>
            </w:pPr>
            <w:r>
              <w:rPr>
                <w:sz w:val="16"/>
              </w:rPr>
            </w:r>
            <w:r>
              <w:rPr>
                <w:rFonts w:ascii="Times New Roman" w:hAnsi="Times New Roman"/>
                <w:sz w:val="16"/>
              </w:rPr>
              <w:t>44</w:t>
            </w:r>
          </w:p>
        </w:tc>
        <w:tc>
          <w:tcPr>
            <w:tcW w:type="dxa" w:w="2088"/>
          </w:tcPr>
          <w:p>
            <w:pPr>
              <w:spacing w:after="0"/>
            </w:pPr>
            <w:r>
              <w:rPr>
                <w:sz w:val="16"/>
              </w:rPr>
            </w:r>
            <w:r>
              <w:rPr>
                <w:rFonts w:ascii="Times New Roman" w:hAnsi="Times New Roman"/>
                <w:sz w:val="16"/>
              </w:rPr>
              <w:t>0.015</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hinglish→hi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0.038</w:t>
            </w:r>
          </w:p>
        </w:tc>
        <w:tc>
          <w:tcPr>
            <w:tcW w:type="dxa" w:w="2088"/>
          </w:tcPr>
          <w:p>
            <w:pPr>
              <w:spacing w:after="0"/>
            </w:pPr>
            <w:r>
              <w:rPr>
                <w:sz w:val="16"/>
              </w:rPr>
            </w:r>
            <w:r>
              <w:rPr>
                <w:rFonts w:ascii="Times New Roman" w:hAnsi="Times New Roman"/>
                <w:sz w:val="16"/>
              </w:rPr>
              <w:t>no — cross-script</w:t>
            </w:r>
          </w:p>
        </w:tc>
      </w:tr>
    </w:tbl>
    <w:p>
      <w:pPr>
        <w:spacing w:after="40"/>
      </w:pPr>
    </w:p>
    <w:p>
      <w:pPr>
        <w:spacing w:after="0"/>
        <w:ind w:firstLine="288"/>
        <w:jc w:val="both"/>
      </w:pPr>
      <w:r>
        <w:rPr>
          <w:rFonts w:ascii="Times New Roman" w:hAnsi="Times New Roman"/>
          <w:sz w:val="20"/>
        </w:rPr>
        <w:t xml:space="preserve">The cross-script cells sit near zero because the two scripts share almost no tokens. That is the script boundary rather than evidence of annotation hygiene, so the figure that bears on leakage is the same-script one: </w:t>
      </w:r>
      <w:r>
        <w:rPr>
          <w:rFonts w:ascii="Times New Roman" w:hAnsi="Times New Roman"/>
          <w:b/>
          <w:sz w:val="20"/>
        </w:rPr>
        <w:t>median 0.077, max 0.245</w:t>
      </w:r>
      <w:r>
        <w:rPr>
          <w:rFonts w:ascii="Times New Roman" w:hAnsi="Times New Roman"/>
          <w:sz w:val="20"/>
        </w:rPr>
        <w:t xml:space="preserve"> over 179 items, against 0.066 and 0.340 before verification. The model rewrites of §III-D did not make questions copy their passages; the one cell whose overlap rose, hinglish→en (median 0.009 to 0.036), rose because rewritten questions name their scheme in English, which is how such questions are actually typed.</w:t>
      </w:r>
    </w:p>
    <w:p>
      <w:pPr>
        <w:spacing w:after="0"/>
        <w:ind w:firstLine="288"/>
        <w:jc w:val="both"/>
      </w:pPr>
      <w:r>
        <w:rPr>
          <w:rFonts w:ascii="Times New Roman" w:hAnsi="Times New Roman"/>
          <w:b/>
          <w:sz w:val="20"/>
        </w:rPr>
        <w:t>Testing it requires holding the cell fixed.</w:t>
      </w:r>
      <w:r>
        <w:rPr>
          <w:rFonts w:ascii="Times New Roman" w:hAnsi="Times New Roman"/>
          <w:sz w:val="20"/>
        </w:rPr>
        <w:t xml:space="preserve"> Our pre-registered plan was to repeat the retrieval comparison on the low-overlap tertile of the whole set, but the low tertile is then mostly one language pair, so the split measures the pair rather than the overlap. Within each same-script cell, splitting at the median overlap instead: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Cell</w:t>
            </w:r>
          </w:p>
        </w:tc>
        <w:tc>
          <w:tcPr>
            <w:tcW w:type="dxa" w:w="2610"/>
          </w:tcPr>
          <w:p>
            <w:pPr>
              <w:spacing w:after="0"/>
            </w:pPr>
            <w:r/>
            <w:r>
              <w:rPr>
                <w:rFonts w:ascii="Times New Roman" w:hAnsi="Times New Roman"/>
                <w:b/>
                <w:sz w:val="16"/>
              </w:rPr>
              <w:t>BM25 − dense, low half</w:t>
            </w:r>
          </w:p>
        </w:tc>
        <w:tc>
          <w:tcPr>
            <w:tcW w:type="dxa" w:w="2610"/>
          </w:tcPr>
          <w:p>
            <w:pPr>
              <w:spacing w:after="0"/>
            </w:pPr>
            <w:r/>
            <w:r>
              <w:rPr>
                <w:rFonts w:ascii="Times New Roman" w:hAnsi="Times New Roman"/>
                <w:b/>
                <w:sz w:val="16"/>
              </w:rPr>
              <w:t>high half</w:t>
            </w:r>
          </w:p>
        </w:tc>
        <w:tc>
          <w:tcPr>
            <w:tcW w:type="dxa" w:w="2610"/>
          </w:tcPr>
          <w:p>
            <w:pPr>
              <w:spacing w:after="0"/>
            </w:pPr>
            <w:r/>
            <w:r>
              <w:rPr>
                <w:rFonts w:ascii="Times New Roman" w:hAnsi="Times New Roman"/>
                <w:b/>
                <w:sz w:val="16"/>
              </w:rPr>
              <w:t>difference</w:t>
            </w:r>
          </w:p>
        </w:tc>
      </w:tr>
      <w:tr>
        <w:tc>
          <w:tcPr>
            <w:tcW w:type="dxa" w:w="2610"/>
          </w:tcPr>
          <w:p>
            <w:pPr>
              <w:spacing w:after="0"/>
            </w:pPr>
            <w:r>
              <w:rPr>
                <w:sz w:val="16"/>
              </w:rPr>
            </w:r>
            <w:r>
              <w:rPr>
                <w:rFonts w:ascii="Times New Roman" w:hAnsi="Times New Roman"/>
                <w:sz w:val="16"/>
              </w:rPr>
              <w:t>en→en</w:t>
            </w:r>
          </w:p>
        </w:tc>
        <w:tc>
          <w:tcPr>
            <w:tcW w:type="dxa" w:w="2610"/>
          </w:tcPr>
          <w:p>
            <w:pPr>
              <w:spacing w:after="0"/>
            </w:pPr>
            <w:r>
              <w:rPr>
                <w:sz w:val="16"/>
              </w:rPr>
            </w:r>
            <w:r>
              <w:rPr>
                <w:rFonts w:ascii="Times New Roman" w:hAnsi="Times New Roman"/>
                <w:sz w:val="16"/>
              </w:rPr>
              <w:t>+0.015</w:t>
            </w:r>
          </w:p>
        </w:tc>
        <w:tc>
          <w:tcPr>
            <w:tcW w:type="dxa" w:w="2610"/>
          </w:tcPr>
          <w:p>
            <w:pPr>
              <w:spacing w:after="0"/>
            </w:pPr>
            <w:r>
              <w:rPr>
                <w:sz w:val="16"/>
              </w:rPr>
            </w:r>
            <w:r>
              <w:rPr>
                <w:rFonts w:ascii="Times New Roman" w:hAnsi="Times New Roman"/>
                <w:sz w:val="16"/>
              </w:rPr>
              <w:t>+0.000</w:t>
            </w:r>
          </w:p>
        </w:tc>
        <w:tc>
          <w:tcPr>
            <w:tcW w:type="dxa" w:w="2610"/>
          </w:tcPr>
          <w:p>
            <w:pPr>
              <w:spacing w:after="0"/>
            </w:pPr>
            <w:r>
              <w:rPr>
                <w:sz w:val="16"/>
              </w:rPr>
            </w:r>
            <w:r>
              <w:rPr>
                <w:rFonts w:ascii="Times New Roman" w:hAnsi="Times New Roman"/>
                <w:sz w:val="16"/>
              </w:rPr>
              <w:t>−0.015</w:t>
            </w:r>
          </w:p>
        </w:tc>
      </w:tr>
      <w:tr>
        <w:tc>
          <w:tcPr>
            <w:tcW w:type="dxa" w:w="2610"/>
          </w:tcPr>
          <w:p>
            <w:pPr>
              <w:spacing w:after="0"/>
            </w:pPr>
            <w:r>
              <w:rPr>
                <w:sz w:val="16"/>
              </w:rPr>
            </w:r>
            <w:r>
              <w:rPr>
                <w:rFonts w:ascii="Times New Roman" w:hAnsi="Times New Roman"/>
                <w:sz w:val="16"/>
              </w:rPr>
              <w:t>hi→hi</w:t>
            </w:r>
          </w:p>
        </w:tc>
        <w:tc>
          <w:tcPr>
            <w:tcW w:type="dxa" w:w="2610"/>
          </w:tcPr>
          <w:p>
            <w:pPr>
              <w:spacing w:after="0"/>
            </w:pPr>
            <w:r>
              <w:rPr>
                <w:sz w:val="16"/>
              </w:rPr>
            </w:r>
            <w:r>
              <w:rPr>
                <w:rFonts w:ascii="Times New Roman" w:hAnsi="Times New Roman"/>
                <w:sz w:val="16"/>
              </w:rPr>
              <w:t>−0.017</w:t>
            </w:r>
          </w:p>
        </w:tc>
        <w:tc>
          <w:tcPr>
            <w:tcW w:type="dxa" w:w="2610"/>
          </w:tcPr>
          <w:p>
            <w:pPr>
              <w:spacing w:after="0"/>
            </w:pPr>
            <w:r>
              <w:rPr>
                <w:sz w:val="16"/>
              </w:rPr>
            </w:r>
            <w:r>
              <w:rPr>
                <w:rFonts w:ascii="Times New Roman" w:hAnsi="Times New Roman"/>
                <w:sz w:val="16"/>
              </w:rPr>
              <w:t>+0.017</w:t>
            </w:r>
          </w:p>
        </w:tc>
        <w:tc>
          <w:tcPr>
            <w:tcW w:type="dxa" w:w="2610"/>
          </w:tcPr>
          <w:p>
            <w:pPr>
              <w:spacing w:after="0"/>
            </w:pPr>
            <w:r>
              <w:rPr>
                <w:sz w:val="16"/>
              </w:rPr>
            </w:r>
            <w:r>
              <w:rPr>
                <w:rFonts w:ascii="Times New Roman" w:hAnsi="Times New Roman"/>
                <w:sz w:val="16"/>
              </w:rPr>
              <w:t>+0.034</w:t>
            </w:r>
          </w:p>
        </w:tc>
      </w:tr>
      <w:tr>
        <w:tc>
          <w:tcPr>
            <w:tcW w:type="dxa" w:w="2610"/>
          </w:tcPr>
          <w:p>
            <w:pPr>
              <w:spacing w:after="0"/>
            </w:pPr>
            <w:r>
              <w:rPr>
                <w:sz w:val="16"/>
              </w:rPr>
            </w:r>
            <w:r>
              <w:rPr>
                <w:rFonts w:ascii="Times New Roman" w:hAnsi="Times New Roman"/>
                <w:sz w:val="16"/>
              </w:rPr>
              <w:t>hinglish→en</w:t>
            </w:r>
          </w:p>
        </w:tc>
        <w:tc>
          <w:tcPr>
            <w:tcW w:type="dxa" w:w="2610"/>
          </w:tcPr>
          <w:p>
            <w:pPr>
              <w:spacing w:after="0"/>
            </w:pPr>
            <w:r>
              <w:rPr>
                <w:sz w:val="16"/>
              </w:rPr>
            </w:r>
            <w:r>
              <w:rPr>
                <w:rFonts w:ascii="Times New Roman" w:hAnsi="Times New Roman"/>
                <w:sz w:val="16"/>
              </w:rPr>
              <w:t>+0.060</w:t>
            </w:r>
          </w:p>
        </w:tc>
        <w:tc>
          <w:tcPr>
            <w:tcW w:type="dxa" w:w="2610"/>
          </w:tcPr>
          <w:p>
            <w:pPr>
              <w:spacing w:after="0"/>
            </w:pPr>
            <w:r>
              <w:rPr>
                <w:sz w:val="16"/>
              </w:rPr>
            </w:r>
            <w:r>
              <w:rPr>
                <w:rFonts w:ascii="Times New Roman" w:hAnsi="Times New Roman"/>
                <w:sz w:val="16"/>
              </w:rPr>
              <w:t>+0.096</w:t>
            </w:r>
          </w:p>
        </w:tc>
        <w:tc>
          <w:tcPr>
            <w:tcW w:type="dxa" w:w="2610"/>
          </w:tcPr>
          <w:p>
            <w:pPr>
              <w:spacing w:after="0"/>
            </w:pPr>
            <w:r>
              <w:rPr>
                <w:sz w:val="16"/>
              </w:rPr>
            </w:r>
            <w:r>
              <w:rPr>
                <w:rFonts w:ascii="Times New Roman" w:hAnsi="Times New Roman"/>
                <w:sz w:val="16"/>
              </w:rPr>
              <w:t>+0.036</w:t>
            </w:r>
          </w:p>
        </w:tc>
      </w:tr>
    </w:tbl>
    <w:p>
      <w:pPr>
        <w:spacing w:after="40"/>
      </w:pPr>
    </w:p>
    <w:p>
      <w:pPr>
        <w:spacing w:after="0"/>
        <w:ind w:firstLine="288"/>
        <w:jc w:val="both"/>
      </w:pPr>
      <w:r>
        <w:rPr>
          <w:rFonts w:ascii="Times New Roman" w:hAnsi="Times New Roman"/>
          <w:sz w:val="20"/>
        </w:rPr>
        <w:t xml:space="preserve">No cell shows a lexical advantage that grows with overlap by more than a few points, and none of the within-half differences is significant (all p ≥ 0.25). Leakage is not detectable in the verified set. Full output is in </w:t>
      </w:r>
      <w:r>
        <w:rPr>
          <w:rFonts w:ascii="Consolas" w:hAnsi="Consolas"/>
          <w:sz w:val="17"/>
        </w:rPr>
        <w:t>evals/report-leakage.txt</w:t>
      </w:r>
      <w:r>
        <w:rPr>
          <w:rFonts w:ascii="Times New Roman" w:hAnsi="Times New Roman"/>
          <w:sz w:val="20"/>
        </w:rPr>
        <w:t>.</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 and normalization preserves both terminators, which is a precondition for that split rather than an incidental property, since segmentation normalizes a section before splitting it.</w:t>
      </w:r>
    </w:p>
    <w:p>
      <w:pPr>
        <w:spacing w:after="0"/>
        <w:ind w:firstLine="288"/>
        <w:jc w:val="both"/>
      </w:pPr>
      <w:r>
        <w:rPr>
          <w:rFonts w:ascii="Times New Roman" w:hAnsi="Times New Roman"/>
          <w:b/>
          <w:sz w:val="20"/>
        </w:rPr>
        <w:t>Where each equivalence actually applies.</w:t>
      </w:r>
      <w:r>
        <w:rPr>
          <w:rFonts w:ascii="Times New Roman" w:hAnsi="Times New Roman"/>
          <w:sz w:val="20"/>
        </w:rPr>
        <w:t xml:space="preserve"> Two of the three act on the retrieval path; amount canonicalisation does not. It is called by answer scoring and error analysis, not by the index tokenizer, so at retrieval time </w:t>
      </w:r>
      <w:r>
        <w:rPr>
          <w:rFonts w:ascii="Consolas" w:hAnsi="Consolas"/>
          <w:sz w:val="17"/>
        </w:rPr>
        <w:t>₹3.5 lakh</w:t>
      </w:r>
      <w:r>
        <w:rPr>
          <w:rFonts w:ascii="Times New Roman" w:hAnsi="Times New Roman"/>
          <w:sz w:val="20"/>
        </w:rPr>
        <w:t xml:space="preserve"> and </w:t>
      </w:r>
      <w:r>
        <w:rPr>
          <w:rFonts w:ascii="Consolas" w:hAnsi="Consolas"/>
          <w:sz w:val="17"/>
        </w:rPr>
        <w:t>3,50,000</w:t>
      </w:r>
      <w:r>
        <w:rPr>
          <w:rFonts w:ascii="Times New Roman" w:hAnsi="Times New Roman"/>
          <w:sz w:val="20"/>
        </w:rPr>
        <w:t xml:space="preserve"> share only the token </w:t>
      </w:r>
      <w:r>
        <w:rPr>
          <w:rFonts w:ascii="Consolas" w:hAnsi="Consolas"/>
          <w:sz w:val="17"/>
        </w:rPr>
        <w:t>3</w:t>
      </w:r>
      <w:r>
        <w:rPr>
          <w:rFonts w:ascii="Times New Roman" w:hAnsi="Times New Roman"/>
          <w:sz w:val="20"/>
        </w:rPr>
        <w:t xml:space="preserve">. We state this because the paragraph above would otherwise imply a matching benefit that the system does not deliver, and because 87 of the 313 answerable verified items carry an amount in the question. Supplying the canonical key to the tokenizer as well moves BM25 Recall@5 on those 87 items from 0.640 [0.534, 0.736] to 0.674 [0.567, 0.766], a paired difference of +0.034 at </w:t>
      </w:r>
      <w:r>
        <w:rPr>
          <w:rFonts w:ascii="Times New Roman" w:hAnsi="Times New Roman"/>
          <w:i/>
          <w:sz w:val="20"/>
        </w:rPr>
        <w:t>p</w:t>
      </w:r>
      <w:r>
        <w:rPr>
          <w:rFonts w:ascii="Times New Roman" w:hAnsi="Times New Roman"/>
          <w:sz w:val="20"/>
        </w:rPr>
        <w:t xml:space="preserve"> = 0.25, and +0.011 over all 313 (p = 0.13). The reason the gap costs so little is worth recording: the tokenizer splits on commas, so </w:t>
      </w:r>
      <w:r>
        <w:rPr>
          <w:rFonts w:ascii="Consolas" w:hAnsi="Consolas"/>
          <w:sz w:val="17"/>
        </w:rPr>
        <w:t>3,50,000</w:t>
      </w:r>
      <w:r>
        <w:rPr>
          <w:rFonts w:ascii="Times New Roman" w:hAnsi="Times New Roman"/>
          <w:sz w:val="20"/>
        </w:rPr>
        <w:t xml:space="preserve"> already fragments into </w:t>
      </w:r>
      <w:r>
        <w:rPr>
          <w:rFonts w:ascii="Consolas" w:hAnsi="Consolas"/>
          <w:sz w:val="17"/>
        </w:rPr>
        <w:t>3</w:t>
      </w:r>
      <w:r>
        <w:rPr>
          <w:rFonts w:ascii="Times New Roman" w:hAnsi="Times New Roman"/>
          <w:sz w:val="20"/>
        </w:rPr>
        <w:t xml:space="preserve">, </w:t>
      </w:r>
      <w:r>
        <w:rPr>
          <w:rFonts w:ascii="Consolas" w:hAnsi="Consolas"/>
          <w:sz w:val="17"/>
        </w:rPr>
        <w:t>50</w:t>
      </w:r>
      <w:r>
        <w:rPr>
          <w:rFonts w:ascii="Times New Roman" w:hAnsi="Times New Roman"/>
          <w:sz w:val="20"/>
        </w:rPr>
        <w:t xml:space="preserve"> and </w:t>
      </w:r>
      <w:r>
        <w:rPr>
          <w:rFonts w:ascii="Consolas" w:hAnsi="Consolas"/>
          <w:sz w:val="17"/>
        </w:rPr>
        <w:t>000</w:t>
      </w:r>
      <w:r>
        <w:rPr>
          <w:rFonts w:ascii="Times New Roman" w:hAnsi="Times New Roman"/>
          <w:sz w:val="20"/>
        </w:rPr>
        <w:t xml:space="preserve">, and the Devanagari form yields the same three subtokens once digits are mapped. Fragmentation supplies most of the equivalence incidentally, and the forms it does not cover — </w:t>
      </w:r>
      <w:r>
        <w:rPr>
          <w:rFonts w:ascii="Consolas" w:hAnsi="Consolas"/>
          <w:sz w:val="17"/>
        </w:rPr>
        <w:t>3.5 lakh</w:t>
      </w:r>
      <w:r>
        <w:rPr>
          <w:rFonts w:ascii="Times New Roman" w:hAnsi="Times New Roman"/>
          <w:sz w:val="20"/>
        </w:rPr>
        <w:t xml:space="preserve"> against </w:t>
      </w:r>
      <w:r>
        <w:rPr>
          <w:rFonts w:ascii="Consolas" w:hAnsi="Consolas"/>
          <w:sz w:val="17"/>
        </w:rPr>
        <w:t>3,50,000</w:t>
      </w:r>
      <w:r>
        <w:rPr>
          <w:rFonts w:ascii="Times New Roman" w:hAnsi="Times New Roman"/>
          <w:sz w:val="20"/>
        </w:rPr>
        <w:t xml:space="preserve"> — are the rarer ones.</w:t>
      </w:r>
    </w:p>
    <w:p>
      <w:pPr>
        <w:spacing w:after="0"/>
        <w:ind w:firstLine="288"/>
        <w:jc w:val="both"/>
      </w:pPr>
      <w:r>
        <w:rPr>
          <w:rFonts w:ascii="Times New Roman" w:hAnsi="Times New Roman"/>
          <w:sz w:val="20"/>
        </w:rPr>
        <w:t>The symmetry claim itself does hold, and not only by construction: the indexing path normalizes a passage a second time, with soft-wrap joining disabled, while a query is normalized once. Applying the second pass changes the token sequence of 0 of 694 passages, so the two paths agree in practice as well as in intent.</w:t>
      </w:r>
    </w:p>
    <w:p>
      <w:pPr>
        <w:spacing w:after="0"/>
        <w:ind w:firstLine="288"/>
        <w:jc w:val="both"/>
      </w:pPr>
      <w:r>
        <w:rPr>
          <w:rFonts w:ascii="Times New Roman" w:hAnsi="Times New Roman"/>
          <w:sz w:val="20"/>
        </w:rPr>
        <w:t>Original surface text is retained alongside the normalized form throughout, so that citations display what the document actually said — a property §III-C records as having been broken in the committed corpus until it was repaired.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after="0"/>
        <w:ind w:firstLine="288"/>
        <w:jc w:val="both"/>
      </w:pPr>
      <w:r>
        <w:rPr>
          <w:rFonts w:ascii="Times New Roman" w:hAnsi="Times New Roman"/>
          <w:sz w:val="20"/>
        </w:rPr>
        <w:t>On the 400 gold questions the procedure agrees with the annotated language on every one: 143 English, 131 Indic, 126 Code-Mixed, no errors in either direction. We are careful about what that shows. These questions were generated per language-pair cell, so each is a clean instance of its class — a Hindi question is fully Devanagari, a Hinglish one is consistently Romanized. Genuine user input is messier: transliteration is inconsistent, English and Hindi alternate within a clause, and typos cross the function-word lexicon. The result establishes that the rules implement the definition without a gap, not that the definition covers everything a user will type.</w:t>
      </w:r>
    </w:p>
    <w:p>
      <w:pPr>
        <w:spacing w:after="0"/>
        <w:ind w:firstLine="288"/>
        <w:jc w:val="both"/>
      </w:pPr>
      <w:r>
        <w:rPr>
          <w:rFonts w:ascii="Times New Roman" w:hAnsi="Times New Roman"/>
          <w:sz w:val="20"/>
        </w:rPr>
        <w:t>It matters mainly because everything downstream depends on it. The script the classifier reports is what decides which passages the lexical retriever is treated as eligible for (§IV-E), so a misclassification would disable the correction silently rather than raise anything.</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Both min-max and z-score normalization are implemented, and we report the ablation rather than asserting the preference: the two are indistinguishable on the gold set, −0.003 Recall@5 for z-score at p = 1.00, and no point of the α sweep separates them by more than 0.013.</w:t>
      </w:r>
    </w:p>
    <w:p>
      <w:pPr>
        <w:spacing w:after="0"/>
        <w:ind w:firstLine="288"/>
        <w:jc w:val="both"/>
      </w:pPr>
      <w:r>
        <w:rPr>
          <w:rFonts w:ascii="Times New Roman" w:hAnsi="Times New Roman"/>
          <w:sz w:val="20"/>
        </w:rPr>
        <w:t>The reason usually given for preferring min-max — that BM25 scores are strongly right-skewed, so z-score leaves the fused ranking dominated by lexical outliers — holds in its premise and not in its consequence. BM25 candidate pools are right-skewed on 97.7% of queries (mean skewness 2.38), and the top candidate scores 2.86× the pool mean against 1.06× for the dense retriever. The fused ranking does not follow: z-score raises the lexical share of the top-1 fused score from 29.0% to 34.4%, and the share of top-5 slots held by passages the dense retriever never returned from 3.2% to 6.5%. The predicted direction is there; the magnitude never reaches the metric.</w:t>
      </w:r>
    </w:p>
    <w:p>
      <w:pPr>
        <w:spacing w:after="0"/>
        <w:ind w:firstLine="288"/>
        <w:jc w:val="both"/>
      </w:pPr>
      <w:r>
        <w:rPr>
          <w:rFonts w:ascii="Times New Roman" w:hAnsi="Times New Roman"/>
          <w:sz w:val="20"/>
        </w:rPr>
        <w:t xml:space="preserve">What separates the two normalizers is imputation, not skew. A passage returned by only one component contributes 0 from the other, and 0 is the floor of a min-max range but the mean of a z-scored one — an absent dense component ranks above 63% of the candidates it is compared against under z-score, and above none of them under min-max. We keep min-max because silence from a retriever should not be scored as an average opinion, which is a claim about what the fusion means rather than about what it measures. The ablation is </w:t>
      </w:r>
      <w:r>
        <w:rPr>
          <w:rFonts w:ascii="Consolas" w:hAnsi="Consolas"/>
          <w:sz w:val="17"/>
        </w:rPr>
        <w:t>evals/report-fusion-normalisation.txt</w:t>
      </w:r>
      <w:r>
        <w:rPr>
          <w:rFonts w:ascii="Times New Roman" w:hAnsi="Times New Roman"/>
          <w:sz w:val="20"/>
        </w:rPr>
        <w:t>.</w:t>
      </w:r>
    </w:p>
    <w:p>
      <w:pPr>
        <w:spacing w:after="0"/>
        <w:ind w:firstLine="288"/>
        <w:jc w:val="both"/>
      </w:pPr>
      <w:r>
        <w:rPr>
          <w:rFonts w:ascii="Times New Roman" w:hAnsi="Times New Roman"/>
          <w:sz w:val="20"/>
        </w:rPr>
        <w:t>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sz w:val="20"/>
        </w:rPr>
        <w:t xml:space="preserve">The split was sealed on 2026-09-23 over the 393 verified items: </w:t>
      </w:r>
      <w:r>
        <w:rPr>
          <w:rFonts w:ascii="Times New Roman" w:hAnsi="Times New Roman"/>
          <w:b/>
          <w:sz w:val="20"/>
        </w:rPr>
        <w:t>dev 120, test 273</w:t>
      </w:r>
      <w:r>
        <w:rPr>
          <w:rFonts w:ascii="Times New Roman" w:hAnsi="Times New Roman"/>
          <w:sz w:val="20"/>
        </w:rPr>
        <w:t>, stratified by query language, answerability and scheme with largest-remainder allocation. The answerability threshold is fitted on dev and reported on test. The retrieval configuration — α = 0.4, RRF k = 60, 50 candidates per component, the primary encoder — was fixed before the gold set existed and was not tuned on it, so retrieval is reported on test (Table in §VI-A) and, where the analysis needs the power, on dev and test together; the section says which. Figures from the earlier unverified set and from synthetic probes are marked as such where they are kept for comparison.</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Headline results on the verified gold set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after="0"/>
        <w:ind w:firstLine="288"/>
        <w:jc w:val="both"/>
      </w:pPr>
      <w:r>
        <w:rPr>
          <w:rFonts w:ascii="Times New Roman" w:hAnsi="Times New Roman"/>
          <w:b/>
          <w:sz w:val="20"/>
        </w:rPr>
        <w:t>TABLE II — Recall@5 on the test split (216 answerable questions), with 95% bootstrap intervals</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System</w:t>
            </w:r>
          </w:p>
        </w:tc>
        <w:tc>
          <w:tcPr>
            <w:tcW w:type="dxa" w:w="2088"/>
          </w:tcPr>
          <w:p>
            <w:pPr>
              <w:spacing w:after="0"/>
            </w:pPr>
            <w:r/>
            <w:r>
              <w:rPr>
                <w:rFonts w:ascii="Times New Roman" w:hAnsi="Times New Roman"/>
                <w:b/>
                <w:sz w:val="16"/>
              </w:rPr>
              <w:t>all</w:t>
            </w:r>
          </w:p>
        </w:tc>
        <w:tc>
          <w:tcPr>
            <w:tcW w:type="dxa" w:w="2088"/>
          </w:tcPr>
          <w:p>
            <w:pPr>
              <w:spacing w:after="0"/>
            </w:pPr>
            <w:r/>
            <w:r>
              <w:rPr>
                <w:rFonts w:ascii="Times New Roman" w:hAnsi="Times New Roman"/>
                <w:b/>
                <w:sz w:val="16"/>
              </w:rPr>
              <w:t>monolingual (83)</w:t>
            </w:r>
          </w:p>
        </w:tc>
        <w:tc>
          <w:tcPr>
            <w:tcW w:type="dxa" w:w="2088"/>
          </w:tcPr>
          <w:p>
            <w:pPr>
              <w:spacing w:after="0"/>
            </w:pPr>
            <w:r/>
            <w:r>
              <w:rPr>
                <w:rFonts w:ascii="Times New Roman" w:hAnsi="Times New Roman"/>
                <w:b/>
                <w:sz w:val="16"/>
              </w:rPr>
              <w:t>cross-lingual (62)</w:t>
            </w:r>
          </w:p>
        </w:tc>
        <w:tc>
          <w:tcPr>
            <w:tcW w:type="dxa" w:w="2088"/>
          </w:tcPr>
          <w:p>
            <w:pPr>
              <w:spacing w:after="0"/>
            </w:pPr>
            <w:r/>
            <w:r>
              <w:rPr>
                <w:rFonts w:ascii="Times New Roman" w:hAnsi="Times New Roman"/>
                <w:b/>
                <w:sz w:val="16"/>
              </w:rPr>
              <w:t>code-mixed (71)</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0.581 [0.519, 0.646]</w:t>
            </w:r>
          </w:p>
        </w:tc>
        <w:tc>
          <w:tcPr>
            <w:tcW w:type="dxa" w:w="2088"/>
          </w:tcPr>
          <w:p>
            <w:pPr>
              <w:spacing w:after="0"/>
            </w:pPr>
            <w:r>
              <w:rPr>
                <w:sz w:val="16"/>
              </w:rPr>
            </w:r>
            <w:r>
              <w:rPr>
                <w:rFonts w:ascii="Times New Roman" w:hAnsi="Times New Roman"/>
                <w:sz w:val="16"/>
              </w:rPr>
              <w:t>0.970</w:t>
            </w:r>
          </w:p>
        </w:tc>
        <w:tc>
          <w:tcPr>
            <w:tcW w:type="dxa" w:w="2088"/>
          </w:tcPr>
          <w:p>
            <w:pPr>
              <w:spacing w:after="0"/>
            </w:pPr>
            <w:r>
              <w:rPr>
                <w:sz w:val="16"/>
              </w:rPr>
            </w:r>
            <w:r>
              <w:rPr>
                <w:rFonts w:ascii="Times New Roman" w:hAnsi="Times New Roman"/>
                <w:sz w:val="16"/>
              </w:rPr>
              <w:t>0.153</w:t>
            </w:r>
          </w:p>
        </w:tc>
        <w:tc>
          <w:tcPr>
            <w:tcW w:type="dxa" w:w="2088"/>
          </w:tcPr>
          <w:p>
            <w:pPr>
              <w:spacing w:after="0"/>
            </w:pPr>
            <w:r>
              <w:rPr>
                <w:sz w:val="16"/>
              </w:rPr>
            </w:r>
            <w:r>
              <w:rPr>
                <w:rFonts w:ascii="Times New Roman" w:hAnsi="Times New Roman"/>
                <w:sz w:val="16"/>
              </w:rPr>
              <w:t>0.500</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0.593</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sz w:val="16"/>
              </w:rPr>
              <w:t>0.185</w:t>
            </w:r>
          </w:p>
        </w:tc>
        <w:tc>
          <w:tcPr>
            <w:tcW w:type="dxa" w:w="2088"/>
          </w:tcPr>
          <w:p>
            <w:pPr>
              <w:spacing w:after="0"/>
            </w:pPr>
            <w:r>
              <w:rPr>
                <w:sz w:val="16"/>
              </w:rPr>
            </w:r>
            <w:r>
              <w:rPr>
                <w:rFonts w:ascii="Times New Roman" w:hAnsi="Times New Roman"/>
                <w:sz w:val="16"/>
              </w:rPr>
              <w:t>0.514</w:t>
            </w:r>
          </w:p>
        </w:tc>
      </w:tr>
      <w:tr>
        <w:tc>
          <w:tcPr>
            <w:tcW w:type="dxa" w:w="2088"/>
          </w:tcPr>
          <w:p>
            <w:pPr>
              <w:spacing w:after="0"/>
            </w:pPr>
            <w:r>
              <w:rPr>
                <w:sz w:val="16"/>
              </w:rPr>
            </w:r>
            <w:r>
              <w:rPr>
                <w:rFonts w:ascii="Times New Roman" w:hAnsi="Times New Roman"/>
                <w:sz w:val="16"/>
              </w:rPr>
              <w:t>multilingual-e5-base</w:t>
            </w:r>
          </w:p>
        </w:tc>
        <w:tc>
          <w:tcPr>
            <w:tcW w:type="dxa" w:w="2088"/>
          </w:tcPr>
          <w:p>
            <w:pPr>
              <w:spacing w:after="0"/>
            </w:pPr>
            <w:r>
              <w:rPr>
                <w:sz w:val="16"/>
              </w:rPr>
            </w:r>
            <w:r>
              <w:rPr>
                <w:rFonts w:ascii="Times New Roman" w:hAnsi="Times New Roman"/>
                <w:sz w:val="16"/>
              </w:rPr>
              <w:t>0.720 [0.660, 0.775]</w:t>
            </w:r>
          </w:p>
        </w:tc>
        <w:tc>
          <w:tcPr>
            <w:tcW w:type="dxa" w:w="2088"/>
          </w:tcPr>
          <w:p>
            <w:pPr>
              <w:spacing w:after="0"/>
            </w:pPr>
            <w:r>
              <w:rPr>
                <w:sz w:val="16"/>
              </w:rPr>
            </w:r>
            <w:r>
              <w:rPr>
                <w:rFonts w:ascii="Times New Roman" w:hAnsi="Times New Roman"/>
                <w:sz w:val="16"/>
              </w:rPr>
              <w:t>0.976</w:t>
            </w:r>
          </w:p>
        </w:tc>
        <w:tc>
          <w:tcPr>
            <w:tcW w:type="dxa" w:w="2088"/>
          </w:tcPr>
          <w:p>
            <w:pPr>
              <w:spacing w:after="0"/>
            </w:pPr>
            <w:r>
              <w:rPr>
                <w:sz w:val="16"/>
              </w:rPr>
            </w:r>
            <w:r>
              <w:rPr>
                <w:rFonts w:ascii="Times New Roman" w:hAnsi="Times New Roman"/>
                <w:sz w:val="16"/>
              </w:rPr>
              <w:t>0.661</w:t>
            </w:r>
          </w:p>
        </w:tc>
        <w:tc>
          <w:tcPr>
            <w:tcW w:type="dxa" w:w="2088"/>
          </w:tcPr>
          <w:p>
            <w:pPr>
              <w:spacing w:after="0"/>
            </w:pPr>
            <w:r>
              <w:rPr>
                <w:sz w:val="16"/>
              </w:rPr>
            </w:r>
            <w:r>
              <w:rPr>
                <w:rFonts w:ascii="Times New Roman" w:hAnsi="Times New Roman"/>
                <w:sz w:val="16"/>
              </w:rPr>
              <w:t>0.472</w:t>
            </w:r>
          </w:p>
        </w:tc>
      </w:tr>
      <w:tr>
        <w:tc>
          <w:tcPr>
            <w:tcW w:type="dxa" w:w="2088"/>
          </w:tcPr>
          <w:p>
            <w:pPr>
              <w:spacing w:after="0"/>
            </w:pPr>
            <w:r>
              <w:rPr>
                <w:sz w:val="16"/>
              </w:rPr>
            </w:r>
            <w:r>
              <w:rPr>
                <w:rFonts w:ascii="Times New Roman" w:hAnsi="Times New Roman"/>
                <w:sz w:val="16"/>
              </w:rPr>
              <w:t>LaBSE</w:t>
            </w:r>
          </w:p>
        </w:tc>
        <w:tc>
          <w:tcPr>
            <w:tcW w:type="dxa" w:w="2088"/>
          </w:tcPr>
          <w:p>
            <w:pPr>
              <w:spacing w:after="0"/>
            </w:pPr>
            <w:r>
              <w:rPr>
                <w:sz w:val="16"/>
              </w:rPr>
            </w:r>
            <w:r>
              <w:rPr>
                <w:rFonts w:ascii="Times New Roman" w:hAnsi="Times New Roman"/>
                <w:sz w:val="16"/>
              </w:rPr>
              <w:t>0.485</w:t>
            </w:r>
          </w:p>
        </w:tc>
        <w:tc>
          <w:tcPr>
            <w:tcW w:type="dxa" w:w="2088"/>
          </w:tcPr>
          <w:p>
            <w:pPr>
              <w:spacing w:after="0"/>
            </w:pPr>
            <w:r>
              <w:rPr>
                <w:sz w:val="16"/>
              </w:rPr>
            </w:r>
            <w:r>
              <w:rPr>
                <w:rFonts w:ascii="Times New Roman" w:hAnsi="Times New Roman"/>
                <w:sz w:val="16"/>
              </w:rPr>
              <w:t>0.655</w:t>
            </w:r>
          </w:p>
        </w:tc>
        <w:tc>
          <w:tcPr>
            <w:tcW w:type="dxa" w:w="2088"/>
          </w:tcPr>
          <w:p>
            <w:pPr>
              <w:spacing w:after="0"/>
            </w:pPr>
            <w:r>
              <w:rPr>
                <w:sz w:val="16"/>
              </w:rPr>
            </w:r>
            <w:r>
              <w:rPr>
                <w:rFonts w:ascii="Times New Roman" w:hAnsi="Times New Roman"/>
                <w:sz w:val="16"/>
              </w:rPr>
              <w:t>0.540</w:t>
            </w:r>
          </w:p>
        </w:tc>
        <w:tc>
          <w:tcPr>
            <w:tcW w:type="dxa" w:w="2088"/>
          </w:tcPr>
          <w:p>
            <w:pPr>
              <w:spacing w:after="0"/>
            </w:pPr>
            <w:r>
              <w:rPr>
                <w:sz w:val="16"/>
              </w:rPr>
            </w:r>
            <w:r>
              <w:rPr>
                <w:rFonts w:ascii="Times New Roman" w:hAnsi="Times New Roman"/>
                <w:sz w:val="16"/>
              </w:rPr>
              <w:t>0.239</w:t>
            </w:r>
          </w:p>
        </w:tc>
      </w:tr>
      <w:tr>
        <w:tc>
          <w:tcPr>
            <w:tcW w:type="dxa" w:w="2088"/>
          </w:tcPr>
          <w:p>
            <w:pPr>
              <w:spacing w:after="0"/>
            </w:pPr>
            <w:r>
              <w:rPr>
                <w:sz w:val="16"/>
              </w:rPr>
            </w:r>
            <w:r>
              <w:rPr>
                <w:rFonts w:ascii="Times New Roman" w:hAnsi="Times New Roman"/>
                <w:sz w:val="16"/>
              </w:rPr>
              <w:t>MiniLM-L12</w:t>
            </w:r>
          </w:p>
        </w:tc>
        <w:tc>
          <w:tcPr>
            <w:tcW w:type="dxa" w:w="2088"/>
          </w:tcPr>
          <w:p>
            <w:pPr>
              <w:spacing w:after="0"/>
            </w:pPr>
            <w:r>
              <w:rPr>
                <w:sz w:val="16"/>
              </w:rPr>
            </w:r>
            <w:r>
              <w:rPr>
                <w:rFonts w:ascii="Times New Roman" w:hAnsi="Times New Roman"/>
                <w:sz w:val="16"/>
              </w:rPr>
              <w:t>0.478</w:t>
            </w:r>
          </w:p>
        </w:tc>
        <w:tc>
          <w:tcPr>
            <w:tcW w:type="dxa" w:w="2088"/>
          </w:tcPr>
          <w:p>
            <w:pPr>
              <w:spacing w:after="0"/>
            </w:pPr>
            <w:r>
              <w:rPr>
                <w:sz w:val="16"/>
              </w:rPr>
            </w:r>
            <w:r>
              <w:rPr>
                <w:rFonts w:ascii="Times New Roman" w:hAnsi="Times New Roman"/>
                <w:sz w:val="16"/>
              </w:rPr>
              <w:t>0.624</w:t>
            </w:r>
          </w:p>
        </w:tc>
        <w:tc>
          <w:tcPr>
            <w:tcW w:type="dxa" w:w="2088"/>
          </w:tcPr>
          <w:p>
            <w:pPr>
              <w:spacing w:after="0"/>
            </w:pPr>
            <w:r>
              <w:rPr>
                <w:sz w:val="16"/>
              </w:rPr>
            </w:r>
            <w:r>
              <w:rPr>
                <w:rFonts w:ascii="Times New Roman" w:hAnsi="Times New Roman"/>
                <w:sz w:val="16"/>
              </w:rPr>
              <w:t>0.605</w:t>
            </w:r>
          </w:p>
        </w:tc>
        <w:tc>
          <w:tcPr>
            <w:tcW w:type="dxa" w:w="2088"/>
          </w:tcPr>
          <w:p>
            <w:pPr>
              <w:spacing w:after="0"/>
            </w:pPr>
            <w:r>
              <w:rPr>
                <w:sz w:val="16"/>
              </w:rPr>
            </w:r>
            <w:r>
              <w:rPr>
                <w:rFonts w:ascii="Times New Roman" w:hAnsi="Times New Roman"/>
                <w:sz w:val="16"/>
              </w:rPr>
              <w:t>0.195</w:t>
            </w:r>
          </w:p>
        </w:tc>
      </w:tr>
      <w:tr>
        <w:tc>
          <w:tcPr>
            <w:tcW w:type="dxa" w:w="2088"/>
          </w:tcPr>
          <w:p>
            <w:pPr>
              <w:spacing w:after="0"/>
            </w:pPr>
            <w:r>
              <w:rPr>
                <w:sz w:val="16"/>
              </w:rPr>
            </w:r>
            <w:r>
              <w:rPr>
                <w:rFonts w:ascii="Times New Roman" w:hAnsi="Times New Roman"/>
                <w:sz w:val="16"/>
              </w:rPr>
              <w:t>MuRIL (mean pooling)</w:t>
            </w:r>
          </w:p>
        </w:tc>
        <w:tc>
          <w:tcPr>
            <w:tcW w:type="dxa" w:w="2088"/>
          </w:tcPr>
          <w:p>
            <w:pPr>
              <w:spacing w:after="0"/>
            </w:pPr>
            <w:r>
              <w:rPr>
                <w:sz w:val="16"/>
              </w:rPr>
            </w:r>
            <w:r>
              <w:rPr>
                <w:rFonts w:ascii="Times New Roman" w:hAnsi="Times New Roman"/>
                <w:sz w:val="16"/>
              </w:rPr>
              <w:t>0.265</w:t>
            </w:r>
          </w:p>
        </w:tc>
        <w:tc>
          <w:tcPr>
            <w:tcW w:type="dxa" w:w="2088"/>
          </w:tcPr>
          <w:p>
            <w:pPr>
              <w:spacing w:after="0"/>
            </w:pPr>
            <w:r>
              <w:rPr>
                <w:sz w:val="16"/>
              </w:rPr>
            </w:r>
            <w:r>
              <w:rPr>
                <w:rFonts w:ascii="Times New Roman" w:hAnsi="Times New Roman"/>
                <w:sz w:val="16"/>
              </w:rPr>
              <w:t>0.582</w:t>
            </w:r>
          </w:p>
        </w:tc>
        <w:tc>
          <w:tcPr>
            <w:tcW w:type="dxa" w:w="2088"/>
          </w:tcPr>
          <w:p>
            <w:pPr>
              <w:spacing w:after="0"/>
            </w:pPr>
            <w:r>
              <w:rPr>
                <w:sz w:val="16"/>
              </w:rPr>
            </w:r>
            <w:r>
              <w:rPr>
                <w:rFonts w:ascii="Times New Roman" w:hAnsi="Times New Roman"/>
                <w:sz w:val="16"/>
              </w:rPr>
              <w:t>0.048</w:t>
            </w:r>
          </w:p>
        </w:tc>
        <w:tc>
          <w:tcPr>
            <w:tcW w:type="dxa" w:w="2088"/>
          </w:tcPr>
          <w:p>
            <w:pPr>
              <w:spacing w:after="0"/>
            </w:pPr>
            <w:r>
              <w:rPr>
                <w:sz w:val="16"/>
              </w:rPr>
            </w:r>
            <w:r>
              <w:rPr>
                <w:rFonts w:ascii="Times New Roman" w:hAnsi="Times New Roman"/>
                <w:sz w:val="16"/>
              </w:rPr>
              <w:t>0.082</w:t>
            </w:r>
          </w:p>
        </w:tc>
      </w:tr>
      <w:tr>
        <w:tc>
          <w:tcPr>
            <w:tcW w:type="dxa" w:w="2088"/>
          </w:tcPr>
          <w:p>
            <w:pPr>
              <w:spacing w:after="0"/>
            </w:pPr>
            <w:r>
              <w:rPr>
                <w:sz w:val="16"/>
              </w:rPr>
            </w:r>
            <w:r>
              <w:rPr>
                <w:rFonts w:ascii="Times New Roman" w:hAnsi="Times New Roman"/>
                <w:sz w:val="16"/>
              </w:rPr>
              <w:t>Hybrid, weighted α = 0.4</w:t>
            </w:r>
          </w:p>
        </w:tc>
        <w:tc>
          <w:tcPr>
            <w:tcW w:type="dxa" w:w="2088"/>
          </w:tcPr>
          <w:p>
            <w:pPr>
              <w:spacing w:after="0"/>
            </w:pPr>
            <w:r>
              <w:rPr>
                <w:sz w:val="16"/>
              </w:rPr>
            </w:r>
            <w:r>
              <w:rPr>
                <w:rFonts w:ascii="Times New Roman" w:hAnsi="Times New Roman"/>
                <w:sz w:val="16"/>
              </w:rPr>
              <w:t>0.688</w:t>
            </w:r>
          </w:p>
        </w:tc>
        <w:tc>
          <w:tcPr>
            <w:tcW w:type="dxa" w:w="2088"/>
          </w:tcPr>
          <w:p>
            <w:pPr>
              <w:spacing w:after="0"/>
            </w:pPr>
            <w:r>
              <w:rPr>
                <w:sz w:val="16"/>
              </w:rPr>
            </w:r>
            <w:r>
              <w:rPr>
                <w:rFonts w:ascii="Times New Roman" w:hAnsi="Times New Roman"/>
                <w:sz w:val="16"/>
              </w:rPr>
              <w:t>0.976</w:t>
            </w:r>
          </w:p>
        </w:tc>
        <w:tc>
          <w:tcPr>
            <w:tcW w:type="dxa" w:w="2088"/>
          </w:tcPr>
          <w:p>
            <w:pPr>
              <w:spacing w:after="0"/>
            </w:pPr>
            <w:r>
              <w:rPr>
                <w:sz w:val="16"/>
              </w:rPr>
            </w:r>
            <w:r>
              <w:rPr>
                <w:rFonts w:ascii="Times New Roman" w:hAnsi="Times New Roman"/>
                <w:sz w:val="16"/>
              </w:rPr>
              <w:t>0.484</w:t>
            </w:r>
          </w:p>
        </w:tc>
        <w:tc>
          <w:tcPr>
            <w:tcW w:type="dxa" w:w="2088"/>
          </w:tcPr>
          <w:p>
            <w:pPr>
              <w:spacing w:after="0"/>
            </w:pPr>
            <w:r>
              <w:rPr>
                <w:sz w:val="16"/>
              </w:rPr>
            </w:r>
            <w:r>
              <w:rPr>
                <w:rFonts w:ascii="Times New Roman" w:hAnsi="Times New Roman"/>
                <w:sz w:val="16"/>
              </w:rPr>
              <w:t>0.528</w:t>
            </w:r>
          </w:p>
        </w:tc>
      </w:tr>
      <w:tr>
        <w:tc>
          <w:tcPr>
            <w:tcW w:type="dxa" w:w="2088"/>
          </w:tcPr>
          <w:p>
            <w:pPr>
              <w:spacing w:after="0"/>
            </w:pPr>
            <w:r>
              <w:rPr>
                <w:sz w:val="16"/>
              </w:rPr>
            </w:r>
            <w:r>
              <w:rPr>
                <w:rFonts w:ascii="Times New Roman" w:hAnsi="Times New Roman"/>
                <w:sz w:val="16"/>
              </w:rPr>
              <w:t>Hybrid, plain RRF</w:t>
            </w:r>
          </w:p>
        </w:tc>
        <w:tc>
          <w:tcPr>
            <w:tcW w:type="dxa" w:w="2088"/>
          </w:tcPr>
          <w:p>
            <w:pPr>
              <w:spacing w:after="0"/>
            </w:pPr>
            <w:r>
              <w:rPr>
                <w:sz w:val="16"/>
              </w:rPr>
            </w:r>
            <w:r>
              <w:rPr>
                <w:rFonts w:ascii="Times New Roman" w:hAnsi="Times New Roman"/>
                <w:sz w:val="16"/>
              </w:rPr>
              <w:t>0.618 [0.556, 0.681]</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sz w:val="16"/>
              </w:rPr>
              <w:t>0.274</w:t>
            </w:r>
          </w:p>
        </w:tc>
        <w:tc>
          <w:tcPr>
            <w:tcW w:type="dxa" w:w="2088"/>
          </w:tcPr>
          <w:p>
            <w:pPr>
              <w:spacing w:after="0"/>
            </w:pPr>
            <w:r>
              <w:rPr>
                <w:sz w:val="16"/>
              </w:rPr>
            </w:r>
            <w:r>
              <w:rPr>
                <w:rFonts w:ascii="Times New Roman" w:hAnsi="Times New Roman"/>
                <w:sz w:val="16"/>
              </w:rPr>
              <w:t>0.514</w:t>
            </w:r>
          </w:p>
        </w:tc>
      </w:tr>
      <w:tr>
        <w:tc>
          <w:tcPr>
            <w:tcW w:type="dxa" w:w="2088"/>
          </w:tcPr>
          <w:p>
            <w:pPr>
              <w:spacing w:after="0"/>
            </w:pPr>
            <w:r>
              <w:rPr>
                <w:sz w:val="16"/>
              </w:rPr>
            </w:r>
            <w:r>
              <w:rPr>
                <w:rFonts w:ascii="Times New Roman" w:hAnsi="Times New Roman"/>
                <w:b/>
                <w:sz w:val="16"/>
              </w:rPr>
              <w:t>Hybrid, script-aware RRF</w:t>
            </w:r>
          </w:p>
        </w:tc>
        <w:tc>
          <w:tcPr>
            <w:tcW w:type="dxa" w:w="2088"/>
          </w:tcPr>
          <w:p>
            <w:pPr>
              <w:spacing w:after="0"/>
            </w:pPr>
            <w:r>
              <w:rPr>
                <w:sz w:val="16"/>
              </w:rPr>
            </w:r>
            <w:r>
              <w:rPr>
                <w:rFonts w:ascii="Times New Roman" w:hAnsi="Times New Roman"/>
                <w:b/>
                <w:sz w:val="16"/>
              </w:rPr>
              <w:t>0.750</w:t>
            </w:r>
            <w:r>
              <w:rPr>
                <w:rFonts w:ascii="Times New Roman" w:hAnsi="Times New Roman"/>
                <w:sz w:val="16"/>
              </w:rPr>
              <w:t xml:space="preserve"> [0.692, 0.806]</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b/>
                <w:sz w:val="16"/>
              </w:rPr>
              <w:t>0.685</w:t>
            </w:r>
          </w:p>
        </w:tc>
        <w:tc>
          <w:tcPr>
            <w:tcW w:type="dxa" w:w="2088"/>
          </w:tcPr>
          <w:p>
            <w:pPr>
              <w:spacing w:after="0"/>
            </w:pPr>
            <w:r>
              <w:rPr>
                <w:sz w:val="16"/>
              </w:rPr>
            </w:r>
            <w:r>
              <w:rPr>
                <w:rFonts w:ascii="Times New Roman" w:hAnsi="Times New Roman"/>
                <w:b/>
                <w:sz w:val="16"/>
              </w:rPr>
              <w:t>0.556</w:t>
            </w:r>
          </w:p>
        </w:tc>
      </w:tr>
    </w:tbl>
    <w:p>
      <w:pPr>
        <w:spacing w:after="40"/>
      </w:pPr>
    </w:p>
    <w:p>
      <w:pPr>
        <w:spacing w:after="0"/>
        <w:ind w:firstLine="288"/>
        <w:jc w:val="both"/>
      </w:pPr>
      <w:r>
        <w:rPr>
          <w:rFonts w:ascii="Times New Roman" w:hAnsi="Times New Roman"/>
          <w:sz w:val="20"/>
        </w:rPr>
        <w:t>Three findings carry the paper, and the verified set confirms the first two more cleanly than any earlier measurement and qualifies the third.</w:t>
      </w:r>
    </w:p>
    <w:p>
      <w:pPr>
        <w:spacing w:after="0"/>
        <w:ind w:firstLine="288"/>
        <w:jc w:val="both"/>
      </w:pPr>
      <w:r>
        <w:rPr>
          <w:rFonts w:ascii="Times New Roman" w:hAnsi="Times New Roman"/>
          <w:b/>
          <w:sz w:val="20"/>
        </w:rPr>
        <w:t>Lexical retrieval does not cross the language boundary.</w:t>
      </w:r>
      <w:r>
        <w:rPr>
          <w:rFonts w:ascii="Times New Roman" w:hAnsi="Times New Roman"/>
          <w:sz w:val="20"/>
        </w:rPr>
        <w:t xml:space="preserve"> BM25 reaches 0.970 on monolingual questions and 0.153 on cross-lingual ones. MuRIL, pretrained on Indic text but not trained for retrieval, reaches 0.048.</w:t>
      </w:r>
    </w:p>
    <w:p>
      <w:pPr>
        <w:spacing w:after="0"/>
        <w:ind w:firstLine="288"/>
        <w:jc w:val="both"/>
      </w:pPr>
      <w:r>
        <w:rPr>
          <w:rFonts w:ascii="Times New Roman" w:hAnsi="Times New Roman"/>
          <w:b/>
          <w:sz w:val="20"/>
        </w:rPr>
        <w:t>Plain fusion destroys the dense retriever's cross-lingual recall, and the script-aware correction restores it.</w:t>
      </w:r>
      <w:r>
        <w:rPr>
          <w:rFonts w:ascii="Times New Roman" w:hAnsi="Times New Roman"/>
          <w:sz w:val="20"/>
        </w:rPr>
        <w:t xml:space="preserve"> Plain RRF over BM25 and e5-base reaches 0.274 on cross-lingual questions, against 0.661 for the dense retriever it contains: adding a lexical retriever that cannot see across the script boundary costs the hybrid system more than half of what its dense half finds. Script-aware fusion, which stops docking a passage for the lexical retriever's blindness to its script (§IV-E), recovers 0.685. Paired against plain RRF it gains +0.411 on the cross-lingual slice and +0.132 overall (both p = 0.0001, n = 62 and 216), and costs nothing monolingually (0.964 against 0.964). This is the result the method was designed around, and it is larger on the verified test split than on the probes (+0.131) or on the unverified set (+0.389 on the pooled items).</w:t>
      </w:r>
    </w:p>
    <w:p>
      <w:pPr>
        <w:spacing w:after="0"/>
        <w:ind w:firstLine="288"/>
        <w:jc w:val="both"/>
      </w:pPr>
      <w:r>
        <w:rPr>
          <w:rFonts w:ascii="Times New Roman" w:hAnsi="Times New Roman"/>
          <w:b/>
          <w:sz w:val="20"/>
        </w:rPr>
        <w:t>Against dense retrieval alone, the gain is small, and significant only on code-mixed questions.</w:t>
      </w:r>
      <w:r>
        <w:rPr>
          <w:rFonts w:ascii="Times New Roman" w:hAnsi="Times New Roman"/>
          <w:sz w:val="20"/>
        </w:rPr>
        <w:t xml:space="preserve"> This is where the verified set changes the story. Before verification, script-aware fusion beat e5-base alone by +0.133 on cross-lingual questions and +0.081 overall. On the test split it is +0.024 cross-lingually (p = 0.62) and +0.030 overall (p = 0.052); the only significant gain is on code-mixed questions, +0.085 (p = 0.0037), where Romanized questions carrying English scheme names give the lexical retriever something real to contribute. Pooling dev and test for power, the overall gain is +0.027 (p = 0.021). The margin shrank when verification rewrote 112 garbled questions, most of them in the cross-lingual and code-mixed cells; our reading is that fusion was partly compensating for questions a dense retriever could not match because they did not say what they asked, though the rewrite and the relabelling changed too much at once to isolate that cause. On well-formed questions, a strong multilingual dense retriever alone does nearly as well as the corrected hybrid.</w:t>
      </w:r>
    </w:p>
    <w:p>
      <w:pPr>
        <w:spacing w:after="0"/>
        <w:ind w:firstLine="288"/>
        <w:jc w:val="both"/>
      </w:pPr>
      <w:r>
        <w:rPr>
          <w:rFonts w:ascii="Times New Roman" w:hAnsi="Times New Roman"/>
          <w:sz w:val="20"/>
        </w:rPr>
        <w:t>So the claim this paper can make is specific. Hybrid retrieval assembled the standard way is actively harmful across scripts, the harm is structural, and a change of arithmetic removes it at no cost. Whether hybrid retrieval is worth assembling at all, over a good dense retriever alone, is a closer call than we reported before verification: it helps on code-mixed queries and is otherwise within noise.</w:t>
      </w:r>
    </w:p>
    <w:p>
      <w:pPr>
        <w:spacing w:after="0"/>
        <w:ind w:firstLine="288"/>
        <w:jc w:val="both"/>
      </w:pPr>
      <w:r>
        <w:rPr>
          <w:rFonts w:ascii="Times New Roman" w:hAnsi="Times New Roman"/>
          <w:b/>
          <w:sz w:val="20"/>
        </w:rPr>
        <w:t>Weighted fusion does not help at any weighting.</w:t>
      </w:r>
      <w:r>
        <w:rPr>
          <w:rFonts w:ascii="Times New Roman" w:hAnsi="Times New Roman"/>
          <w:sz w:val="20"/>
        </w:rPr>
        <w:t xml:space="preserve"> Sweeping α over e5-base and BM25, no interior weighting beats pure dense on the test split (best α = 0.1 at 0.720, equal to α = 0), and none does on the pooled set (0.728 at α = 0.1 against 0.736). H2, in its weighted-fusion form, is not supported. An earlier version of this section reported the opposite; that sweep used the wrong dense encoder for its endpoint (§VIII), and was corrected before verification.</w:t>
      </w:r>
    </w:p>
    <w:p>
      <w:pPr>
        <w:spacing w:before="200" w:after="80"/>
        <w:jc w:val="left"/>
      </w:pPr>
      <w:r>
        <w:rPr>
          <w:rFonts w:ascii="Times New Roman" w:hAnsi="Times New Roman"/>
          <w:i/>
          <w:sz w:val="20"/>
        </w:rPr>
        <w:t>A.1 The correction is orthogonal to encoder choice</w:t>
      </w:r>
    </w:p>
    <w:p>
      <w:pPr>
        <w:spacing w:after="0"/>
        <w:ind w:firstLine="288"/>
        <w:jc w:val="both"/>
      </w:pPr>
      <w:r>
        <w:rPr>
          <w:rFonts w:ascii="Times New Roman" w:hAnsi="Times New Roman"/>
          <w:sz w:val="20"/>
        </w:rPr>
        <w:t>§VIII-E argues that the mechanism is about asymmetric coverage rather than about any particular encoder. Applying the same correction over each dense retriever (pooled dev and test, 313 questions):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dense alone</w:t>
            </w:r>
          </w:p>
        </w:tc>
        <w:tc>
          <w:tcPr>
            <w:tcW w:type="dxa" w:w="2610"/>
          </w:tcPr>
          <w:p>
            <w:pPr>
              <w:spacing w:after="0"/>
            </w:pPr>
            <w:r/>
            <w:r>
              <w:rPr>
                <w:rFonts w:ascii="Times New Roman" w:hAnsi="Times New Roman"/>
                <w:b/>
                <w:sz w:val="16"/>
              </w:rPr>
              <w:t>with script-aware fusion</w:t>
            </w:r>
          </w:p>
        </w:tc>
        <w:tc>
          <w:tcPr>
            <w:tcW w:type="dxa" w:w="2610"/>
          </w:tcPr>
          <w:p>
            <w:pPr>
              <w:spacing w:after="0"/>
            </w:pPr>
            <w:r/>
            <w:r>
              <w:rPr>
                <w:rFonts w:ascii="Times New Roman" w:hAnsi="Times New Roman"/>
                <w:b/>
                <w:sz w:val="16"/>
              </w:rPr>
              <w:t>gain</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0.736</w:t>
            </w:r>
          </w:p>
        </w:tc>
        <w:tc>
          <w:tcPr>
            <w:tcW w:type="dxa" w:w="2610"/>
          </w:tcPr>
          <w:p>
            <w:pPr>
              <w:spacing w:after="0"/>
            </w:pPr>
            <w:r>
              <w:rPr>
                <w:sz w:val="16"/>
              </w:rPr>
            </w:r>
            <w:r>
              <w:rPr>
                <w:rFonts w:ascii="Times New Roman" w:hAnsi="Times New Roman"/>
                <w:b/>
                <w:sz w:val="16"/>
              </w:rPr>
              <w:t>0.764</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0.504</w:t>
            </w:r>
          </w:p>
        </w:tc>
        <w:tc>
          <w:tcPr>
            <w:tcW w:type="dxa" w:w="2610"/>
          </w:tcPr>
          <w:p>
            <w:pPr>
              <w:spacing w:after="0"/>
            </w:pPr>
            <w:r>
              <w:rPr>
                <w:sz w:val="16"/>
              </w:rPr>
            </w:r>
            <w:r>
              <w:rPr>
                <w:rFonts w:ascii="Times New Roman" w:hAnsi="Times New Roman"/>
                <w:sz w:val="16"/>
              </w:rPr>
              <w:t>0.666</w:t>
            </w:r>
          </w:p>
        </w:tc>
        <w:tc>
          <w:tcPr>
            <w:tcW w:type="dxa" w:w="2610"/>
          </w:tcPr>
          <w:p>
            <w:pPr>
              <w:spacing w:after="0"/>
            </w:pPr>
            <w:r>
              <w:rPr>
                <w:sz w:val="16"/>
              </w:rPr>
            </w:r>
            <w:r>
              <w:rPr>
                <w:rFonts w:ascii="Times New Roman" w:hAnsi="Times New Roman"/>
                <w:sz w:val="16"/>
              </w:rPr>
              <w:t>+0.162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0.512</w:t>
            </w:r>
          </w:p>
        </w:tc>
        <w:tc>
          <w:tcPr>
            <w:tcW w:type="dxa" w:w="2610"/>
          </w:tcPr>
          <w:p>
            <w:pPr>
              <w:spacing w:after="0"/>
            </w:pPr>
            <w:r>
              <w:rPr>
                <w:sz w:val="16"/>
              </w:rPr>
            </w:r>
            <w:r>
              <w:rPr>
                <w:rFonts w:ascii="Times New Roman" w:hAnsi="Times New Roman"/>
                <w:sz w:val="16"/>
              </w:rPr>
              <w:t>0.597</w:t>
            </w:r>
          </w:p>
        </w:tc>
        <w:tc>
          <w:tcPr>
            <w:tcW w:type="dxa" w:w="2610"/>
          </w:tcPr>
          <w:p>
            <w:pPr>
              <w:spacing w:after="0"/>
            </w:pPr>
            <w:r>
              <w:rPr>
                <w:sz w:val="16"/>
              </w:rPr>
            </w:r>
            <w:r>
              <w:rPr>
                <w:rFonts w:ascii="Times New Roman" w:hAnsi="Times New Roman"/>
                <w:sz w:val="16"/>
              </w:rPr>
              <w:t>+0.085</w:t>
            </w:r>
          </w:p>
        </w:tc>
      </w:tr>
    </w:tbl>
    <w:p>
      <w:pPr>
        <w:spacing w:after="40"/>
      </w:pPr>
    </w:p>
    <w:p>
      <w:pPr>
        <w:spacing w:after="0"/>
        <w:ind w:firstLine="288"/>
        <w:jc w:val="both"/>
      </w:pPr>
      <w:r>
        <w:rPr>
          <w:rFonts w:ascii="Times New Roman" w:hAnsi="Times New Roman"/>
          <w:sz w:val="20"/>
        </w:rPr>
        <w:t>Fusion improves every one, and the weaker the dense retriever the more the lexical half contributes once it is no longer allowed to penalise what it cannot see. Fusing over e5-base remains the best configuration: fusing over MiniLM is worse by 0.097 and over LaBSE by 0.167 overall (both p ≤ 0.0003). MiniLM's fusion leads the cross-lingual slice (0.736 against 0.669) but not significantly (p = 0.26), and loses heavily on every other slice.</w:t>
      </w:r>
    </w:p>
    <w:p>
      <w:pPr>
        <w:spacing w:before="200" w:after="80"/>
        <w:jc w:val="left"/>
      </w:pPr>
      <w:r>
        <w:rPr>
          <w:rFonts w:ascii="Times New Roman" w:hAnsi="Times New Roman"/>
          <w:i/>
          <w:sz w:val="20"/>
        </w:rPr>
        <w:t>A.2 What the probe-set sections below do and do not show</w:t>
      </w:r>
    </w:p>
    <w:p>
      <w:pPr>
        <w:spacing w:after="0"/>
        <w:ind w:firstLine="288"/>
        <w:jc w:val="both"/>
      </w:pPr>
      <w:r>
        <w:rPr>
          <w:rFonts w:ascii="Times New Roman" w:hAnsi="Times New Roman"/>
          <w:sz w:val="20"/>
        </w:rPr>
        <w:t>§VI-B to §VI-F were measured on 180 synthetic probes, 120 of them monolingual and many lifting phrasing directly from their target passage, which flatters lexical retrieval. They are kept because they are where the fusion penalty was first found and diagnosed (§VIII), and the mechanism they describe — zero lexical recall across a script boundary, and a fusion rule that docks passages for it — is structural and is confirmed above. Their magnitudes are not the paper's results. Where they disagree with Table II, Table II stands; in particular §VI-F's observation that LaBSE leads the code-mixed slice does not hold on real questions (LaBSE 0.239 against 0.500 for BM25 and 0.556 for script-aware fusion).</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Figure 2 plots the same numbers. 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3 plots the table, with the monolingual regression on the same axes as the gains rather than in a separate panel. 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plotted as Figure 4, which found no interior weighting significantly better than the better endpoint (the best, α = 0.4, is +0.025 over pure lexical at p = 0.13)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which we have not tested and would expect to be stronger than either.</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On the verified set whether it works depends on which score it thresholds, and this reverses the finding we reported before verification.</w:t>
      </w:r>
    </w:p>
    <w:p>
      <w:pPr>
        <w:spacing w:after="0"/>
        <w:ind w:firstLine="288"/>
        <w:jc w:val="both"/>
      </w:pPr>
      <w:r>
        <w:rPr>
          <w:rFonts w:ascii="Times New Roman" w:hAnsi="Times New Roman"/>
          <w:sz w:val="20"/>
        </w:rPr>
        <w:t>All figures below fit the threshold, or the calibrated combination of §IV-F, on the 120-item dev split and report on the 273-item test split (57 unanswerable, a base rate of 0.21).</w:t>
      </w:r>
    </w:p>
    <w:p>
      <w:pPr>
        <w:spacing w:after="0"/>
        <w:ind w:firstLine="288"/>
        <w:jc w:val="both"/>
      </w:pPr>
      <w:r>
        <w:rPr>
          <w:rFonts w:ascii="Times New Roman" w:hAnsi="Times New Roman"/>
          <w:b/>
          <w:sz w:val="20"/>
        </w:rPr>
        <w:t>TABLE III — Answerability on the test split, UNANSWERABLE as the positive class</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score</w:t>
            </w:r>
          </w:p>
        </w:tc>
        <w:tc>
          <w:tcPr>
            <w:tcW w:type="dxa" w:w="1740"/>
          </w:tcPr>
          <w:p>
            <w:pPr>
              <w:spacing w:after="0"/>
            </w:pPr>
            <w:r/>
            <w:r>
              <w:rPr>
                <w:rFonts w:ascii="Times New Roman" w:hAnsi="Times New Roman"/>
                <w:b/>
                <w:sz w:val="16"/>
              </w:rPr>
              <w:t>test F1</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abstains on</w:t>
            </w:r>
          </w:p>
        </w:tc>
      </w:tr>
      <w:tr>
        <w:tc>
          <w:tcPr>
            <w:tcW w:type="dxa" w:w="1740"/>
          </w:tcPr>
          <w:p>
            <w:pPr>
              <w:spacing w:after="0"/>
            </w:pPr>
            <w:r>
              <w:rPr>
                <w:sz w:val="16"/>
              </w:rPr>
            </w:r>
            <w:r>
              <w:rPr>
                <w:rFonts w:ascii="Times New Roman" w:hAnsi="Times New Roman"/>
                <w:sz w:val="16"/>
              </w:rPr>
              <w:t>threshold</w:t>
            </w:r>
          </w:p>
        </w:tc>
        <w:tc>
          <w:tcPr>
            <w:tcW w:type="dxa" w:w="1740"/>
          </w:tcPr>
          <w:p>
            <w:pPr>
              <w:spacing w:after="0"/>
            </w:pPr>
            <w:r>
              <w:rPr>
                <w:sz w:val="16"/>
              </w:rPr>
            </w:r>
            <w:r>
              <w:rPr>
                <w:rFonts w:ascii="Times New Roman" w:hAnsi="Times New Roman"/>
                <w:sz w:val="16"/>
              </w:rPr>
              <w:t>BM25 top score</w:t>
            </w:r>
          </w:p>
        </w:tc>
        <w:tc>
          <w:tcPr>
            <w:tcW w:type="dxa" w:w="1740"/>
          </w:tcPr>
          <w:p>
            <w:pPr>
              <w:spacing w:after="0"/>
            </w:pPr>
            <w:r>
              <w:rPr>
                <w:sz w:val="16"/>
              </w:rPr>
            </w:r>
            <w:r>
              <w:rPr>
                <w:rFonts w:ascii="Times New Roman" w:hAnsi="Times New Roman"/>
                <w:b/>
                <w:sz w:val="16"/>
              </w:rPr>
              <w:t>0.525</w:t>
            </w:r>
          </w:p>
        </w:tc>
        <w:tc>
          <w:tcPr>
            <w:tcW w:type="dxa" w:w="1740"/>
          </w:tcPr>
          <w:p>
            <w:pPr>
              <w:spacing w:after="0"/>
            </w:pPr>
            <w:r>
              <w:rPr>
                <w:sz w:val="16"/>
              </w:rPr>
            </w:r>
            <w:r>
              <w:rPr>
                <w:rFonts w:ascii="Times New Roman" w:hAnsi="Times New Roman"/>
                <w:sz w:val="16"/>
              </w:rPr>
              <w:t>0.408</w:t>
            </w:r>
          </w:p>
        </w:tc>
        <w:tc>
          <w:tcPr>
            <w:tcW w:type="dxa" w:w="1740"/>
          </w:tcPr>
          <w:p>
            <w:pPr>
              <w:spacing w:after="0"/>
            </w:pPr>
            <w:r>
              <w:rPr>
                <w:sz w:val="16"/>
              </w:rPr>
            </w:r>
            <w:r>
              <w:rPr>
                <w:rFonts w:ascii="Times New Roman" w:hAnsi="Times New Roman"/>
                <w:sz w:val="16"/>
              </w:rPr>
              <w:t>0.737</w:t>
            </w:r>
          </w:p>
        </w:tc>
        <w:tc>
          <w:tcPr>
            <w:tcW w:type="dxa" w:w="1740"/>
          </w:tcPr>
          <w:p>
            <w:pPr>
              <w:spacing w:after="0"/>
            </w:pPr>
            <w:r>
              <w:rPr>
                <w:sz w:val="16"/>
              </w:rPr>
            </w:r>
            <w:r>
              <w:rPr>
                <w:rFonts w:ascii="Times New Roman" w:hAnsi="Times New Roman"/>
                <w:sz w:val="16"/>
              </w:rPr>
              <w:t>38%</w:t>
            </w:r>
          </w:p>
        </w:tc>
      </w:tr>
      <w:tr>
        <w:tc>
          <w:tcPr>
            <w:tcW w:type="dxa" w:w="1740"/>
          </w:tcPr>
          <w:p>
            <w:pPr>
              <w:spacing w:after="0"/>
            </w:pPr>
            <w:r>
              <w:rPr>
                <w:sz w:val="16"/>
              </w:rPr>
            </w:r>
            <w:r>
              <w:rPr>
                <w:rFonts w:ascii="Times New Roman" w:hAnsi="Times New Roman"/>
                <w:sz w:val="16"/>
              </w:rPr>
              <w:t>calibrated combination</w:t>
            </w:r>
          </w:p>
        </w:tc>
        <w:tc>
          <w:tcPr>
            <w:tcW w:type="dxa" w:w="1740"/>
          </w:tcPr>
          <w:p>
            <w:pPr>
              <w:spacing w:after="0"/>
            </w:pPr>
            <w:r>
              <w:rPr>
                <w:sz w:val="16"/>
              </w:rPr>
            </w:r>
            <w:r>
              <w:rPr>
                <w:rFonts w:ascii="Times New Roman" w:hAnsi="Times New Roman"/>
                <w:sz w:val="16"/>
              </w:rPr>
              <w:t>BM25 features</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0.431</w:t>
            </w:r>
          </w:p>
        </w:tc>
        <w:tc>
          <w:tcPr>
            <w:tcW w:type="dxa" w:w="1740"/>
          </w:tcPr>
          <w:p>
            <w:pPr>
              <w:spacing w:after="0"/>
            </w:pPr>
            <w:r>
              <w:rPr>
                <w:sz w:val="16"/>
              </w:rPr>
            </w:r>
            <w:r>
              <w:rPr>
                <w:rFonts w:ascii="Times New Roman" w:hAnsi="Times New Roman"/>
                <w:sz w:val="16"/>
              </w:rPr>
              <w:t>0.544</w:t>
            </w:r>
          </w:p>
        </w:tc>
        <w:tc>
          <w:tcPr>
            <w:tcW w:type="dxa" w:w="1740"/>
          </w:tcPr>
          <w:p>
            <w:pPr>
              <w:spacing w:after="0"/>
            </w:pPr>
            <w:r>
              <w:rPr>
                <w:sz w:val="16"/>
              </w:rPr>
            </w:r>
            <w:r>
              <w:rPr>
                <w:rFonts w:ascii="Times New Roman" w:hAnsi="Times New Roman"/>
                <w:sz w:val="16"/>
              </w:rPr>
              <w:t>26%</w:t>
            </w:r>
          </w:p>
        </w:tc>
      </w:tr>
      <w:tr>
        <w:tc>
          <w:tcPr>
            <w:tcW w:type="dxa" w:w="1740"/>
          </w:tcPr>
          <w:p>
            <w:pPr>
              <w:spacing w:after="0"/>
            </w:pPr>
            <w:r>
              <w:rPr>
                <w:sz w:val="16"/>
              </w:rPr>
            </w:r>
            <w:r>
              <w:rPr>
                <w:rFonts w:ascii="Times New Roman" w:hAnsi="Times New Roman"/>
                <w:sz w:val="16"/>
              </w:rPr>
              <w:t>threshold</w:t>
            </w:r>
          </w:p>
        </w:tc>
        <w:tc>
          <w:tcPr>
            <w:tcW w:type="dxa" w:w="1740"/>
          </w:tcPr>
          <w:p>
            <w:pPr>
              <w:spacing w:after="0"/>
            </w:pPr>
            <w:r>
              <w:rPr>
                <w:sz w:val="16"/>
              </w:rPr>
            </w:r>
            <w:r>
              <w:rPr>
                <w:rFonts w:ascii="Times New Roman" w:hAnsi="Times New Roman"/>
                <w:sz w:val="16"/>
              </w:rPr>
              <w:t>script-aware RRF top score</w:t>
            </w:r>
          </w:p>
        </w:tc>
        <w:tc>
          <w:tcPr>
            <w:tcW w:type="dxa" w:w="1740"/>
          </w:tcPr>
          <w:p>
            <w:pPr>
              <w:spacing w:after="0"/>
            </w:pPr>
            <w:r>
              <w:rPr>
                <w:sz w:val="16"/>
              </w:rPr>
            </w:r>
            <w:r>
              <w:rPr>
                <w:rFonts w:ascii="Times New Roman" w:hAnsi="Times New Roman"/>
                <w:sz w:val="16"/>
              </w:rPr>
              <w:t>0.381</w:t>
            </w:r>
          </w:p>
        </w:tc>
        <w:tc>
          <w:tcPr>
            <w:tcW w:type="dxa" w:w="1740"/>
          </w:tcPr>
          <w:p>
            <w:pPr>
              <w:spacing w:after="0"/>
            </w:pPr>
            <w:r>
              <w:rPr>
                <w:sz w:val="16"/>
              </w:rPr>
            </w:r>
            <w:r>
              <w:rPr>
                <w:rFonts w:ascii="Times New Roman" w:hAnsi="Times New Roman"/>
                <w:sz w:val="16"/>
              </w:rPr>
              <w:t>0.240</w:t>
            </w:r>
          </w:p>
        </w:tc>
        <w:tc>
          <w:tcPr>
            <w:tcW w:type="dxa" w:w="1740"/>
          </w:tcPr>
          <w:p>
            <w:pPr>
              <w:spacing w:after="0"/>
            </w:pPr>
            <w:r>
              <w:rPr>
                <w:sz w:val="16"/>
              </w:rPr>
            </w:r>
            <w:r>
              <w:rPr>
                <w:rFonts w:ascii="Times New Roman" w:hAnsi="Times New Roman"/>
                <w:sz w:val="16"/>
              </w:rPr>
              <w:t>0.930</w:t>
            </w:r>
          </w:p>
        </w:tc>
        <w:tc>
          <w:tcPr>
            <w:tcW w:type="dxa" w:w="1740"/>
          </w:tcPr>
          <w:p>
            <w:pPr>
              <w:spacing w:after="0"/>
            </w:pPr>
            <w:r>
              <w:rPr>
                <w:sz w:val="16"/>
              </w:rPr>
            </w:r>
            <w:r>
              <w:rPr>
                <w:rFonts w:ascii="Times New Roman" w:hAnsi="Times New Roman"/>
                <w:sz w:val="16"/>
              </w:rPr>
              <w:t>81%</w:t>
            </w:r>
          </w:p>
        </w:tc>
      </w:tr>
      <w:tr>
        <w:tc>
          <w:tcPr>
            <w:tcW w:type="dxa" w:w="1740"/>
          </w:tcPr>
          <w:p>
            <w:pPr>
              <w:spacing w:after="0"/>
            </w:pPr>
            <w:r>
              <w:rPr>
                <w:sz w:val="16"/>
              </w:rPr>
            </w:r>
            <w:r>
              <w:rPr>
                <w:rFonts w:ascii="Times New Roman" w:hAnsi="Times New Roman"/>
                <w:sz w:val="16"/>
              </w:rPr>
              <w:t>calibrated combination</w:t>
            </w:r>
          </w:p>
        </w:tc>
        <w:tc>
          <w:tcPr>
            <w:tcW w:type="dxa" w:w="1740"/>
          </w:tcPr>
          <w:p>
            <w:pPr>
              <w:spacing w:after="0"/>
            </w:pPr>
            <w:r>
              <w:rPr>
                <w:sz w:val="16"/>
              </w:rPr>
            </w:r>
            <w:r>
              <w:rPr>
                <w:rFonts w:ascii="Times New Roman" w:hAnsi="Times New Roman"/>
                <w:sz w:val="16"/>
              </w:rPr>
              <w:t>RRF features</w:t>
            </w:r>
          </w:p>
        </w:tc>
        <w:tc>
          <w:tcPr>
            <w:tcW w:type="dxa" w:w="1740"/>
          </w:tcPr>
          <w:p>
            <w:pPr>
              <w:spacing w:after="0"/>
            </w:pPr>
            <w:r>
              <w:rPr>
                <w:sz w:val="16"/>
              </w:rPr>
            </w:r>
            <w:r>
              <w:rPr>
                <w:rFonts w:ascii="Times New Roman" w:hAnsi="Times New Roman"/>
                <w:sz w:val="16"/>
              </w:rPr>
              <w:t>0.454</w:t>
            </w:r>
          </w:p>
        </w:tc>
        <w:tc>
          <w:tcPr>
            <w:tcW w:type="dxa" w:w="1740"/>
          </w:tcPr>
          <w:p>
            <w:pPr>
              <w:spacing w:after="0"/>
            </w:pPr>
            <w:r>
              <w:rPr>
                <w:sz w:val="16"/>
              </w:rPr>
            </w:r>
            <w:r>
              <w:rPr>
                <w:rFonts w:ascii="Times New Roman" w:hAnsi="Times New Roman"/>
                <w:sz w:val="16"/>
              </w:rPr>
              <w:t>0.435</w:t>
            </w:r>
          </w:p>
        </w:tc>
        <w:tc>
          <w:tcPr>
            <w:tcW w:type="dxa" w:w="1740"/>
          </w:tcPr>
          <w:p>
            <w:pPr>
              <w:spacing w:after="0"/>
            </w:pPr>
            <w:r>
              <w:rPr>
                <w:sz w:val="16"/>
              </w:rPr>
            </w:r>
            <w:r>
              <w:rPr>
                <w:rFonts w:ascii="Times New Roman" w:hAnsi="Times New Roman"/>
                <w:sz w:val="16"/>
              </w:rPr>
              <w:t>0.474</w:t>
            </w:r>
          </w:p>
        </w:tc>
        <w:tc>
          <w:tcPr>
            <w:tcW w:type="dxa" w:w="1740"/>
          </w:tcPr>
          <w:p>
            <w:pPr>
              <w:spacing w:after="0"/>
            </w:pPr>
            <w:r>
              <w:rPr>
                <w:sz w:val="16"/>
              </w:rPr>
            </w:r>
            <w:r>
              <w:rPr>
                <w:rFonts w:ascii="Times New Roman" w:hAnsi="Times New Roman"/>
                <w:sz w:val="16"/>
              </w:rPr>
              <w:t>23%</w:t>
            </w:r>
          </w:p>
        </w:tc>
      </w:tr>
    </w:tbl>
    <w:p>
      <w:pPr>
        <w:spacing w:after="40"/>
      </w:pPr>
    </w:p>
    <w:p>
      <w:pPr>
        <w:spacing w:after="0"/>
        <w:ind w:firstLine="288"/>
        <w:jc w:val="both"/>
      </w:pPr>
      <w:r>
        <w:rPr>
          <w:rFonts w:ascii="Times New Roman" w:hAnsi="Times New Roman"/>
          <w:b/>
          <w:sz w:val="20"/>
        </w:rPr>
        <w:t>The lexical score separates the classes.</w:t>
      </w:r>
      <w:r>
        <w:rPr>
          <w:rFonts w:ascii="Times New Roman" w:hAnsi="Times New Roman"/>
          <w:sz w:val="20"/>
        </w:rPr>
        <w:t xml:space="preserve"> Under BM25 the median top score is 25.5 for answerable questions and 13.8 for unanswerable ones, and every retrieval feature separates them: AUC 0.791 for the top score, 0.790 for the spread between the top and the k-th result, 0.766 for the mean of the top k, 0.717 for the top-1 to top-2 margin. A threshold fitted on dev catches every out-of-scope question on test, 0.857 of the under-specified ones and 0.667 of the false-premise ones, while answering 155 of 216 answerable questions.</w:t>
      </w:r>
    </w:p>
    <w:p>
      <w:pPr>
        <w:spacing w:after="0"/>
        <w:ind w:firstLine="288"/>
        <w:jc w:val="both"/>
      </w:pPr>
      <w:r>
        <w:rPr>
          <w:rFonts w:ascii="Times New Roman" w:hAnsi="Times New Roman"/>
          <w:b/>
          <w:sz w:val="20"/>
        </w:rPr>
        <w:t>It is weakest where it matters most.</w:t>
      </w:r>
      <w:r>
        <w:rPr>
          <w:rFonts w:ascii="Times New Roman" w:hAnsi="Times New Roman"/>
          <w:sz w:val="20"/>
        </w:rPr>
        <w:t xml:space="preserve"> On near-miss questions — scheme present, specific fact absent — recall is 0.522: half of them retrieve as confidently as questions the corpus answers, because the passages they find are genuinely about the right scheme. A score threshold detects the absence of a topic; it detects the absence of a </w:t>
      </w:r>
      <w:r>
        <w:rPr>
          <w:rFonts w:ascii="Times New Roman" w:hAnsi="Times New Roman"/>
          <w:i/>
          <w:sz w:val="20"/>
        </w:rPr>
        <w:t>fact</w:t>
      </w:r>
      <w:r>
        <w:rPr>
          <w:rFonts w:ascii="Times New Roman" w:hAnsi="Times New Roman"/>
          <w:sz w:val="20"/>
        </w:rPr>
        <w:t xml:space="preserve"> only about as often as chance would suggest for a question drawn to sit right beside one.</w:t>
      </w:r>
    </w:p>
    <w:p>
      <w:pPr>
        <w:spacing w:after="0"/>
        <w:ind w:firstLine="288"/>
        <w:jc w:val="both"/>
      </w:pPr>
      <w:r>
        <w:rPr>
          <w:rFonts w:ascii="Times New Roman" w:hAnsi="Times New Roman"/>
          <w:b/>
          <w:sz w:val="20"/>
        </w:rPr>
        <w:t>Rank fusion discards the signal.</w:t>
      </w:r>
      <w:r>
        <w:rPr>
          <w:rFonts w:ascii="Times New Roman" w:hAnsi="Times New Roman"/>
          <w:sz w:val="20"/>
        </w:rPr>
        <w:t xml:space="preserve"> The script-aware RRF score is built from ranks, not magnitudes, and its top score is 0.0328 for answerable questions against 0.0325 for unanswerable ones. Its best single feature reaches AUC 0.712, and a threshold fitted on dev lands at the degenerate end of the curve, refusing 81% of test questions for a precision of 0.240 — barely above the base rate. The hybrid retriever that §VI-A recommends for finding evidence is therefore the wrong place to read an abstention signal from; the lexical component's raw score, computed anyway as part of fusion, is the better signal by a wide margin.</w:t>
      </w:r>
    </w:p>
    <w:p>
      <w:pPr>
        <w:spacing w:after="0"/>
        <w:ind w:firstLine="288"/>
        <w:jc w:val="both"/>
      </w:pPr>
      <w:r>
        <w:rPr>
          <w:rFonts w:ascii="Times New Roman" w:hAnsi="Times New Roman"/>
          <w:b/>
          <w:sz w:val="20"/>
        </w:rPr>
        <w:t>Combining features does not beat the best one.</w:t>
      </w:r>
      <w:r>
        <w:rPr>
          <w:rFonts w:ascii="Times New Roman" w:hAnsi="Times New Roman"/>
          <w:sz w:val="20"/>
        </w:rPr>
        <w:t xml:space="preserve"> The calibrated combination over BM25 features reaches AUC 0.781 against 0.791 for the top score alone, and a lower test F1 (0.481 against 0.525), though it abstains less. Its fitted weights put score spread first (1.245) and the top score second (0.636).</w:t>
      </w:r>
    </w:p>
    <w:p>
      <w:pPr>
        <w:spacing w:after="0"/>
        <w:ind w:firstLine="288"/>
        <w:jc w:val="both"/>
      </w:pPr>
      <w:r>
        <w:rPr>
          <w:rFonts w:ascii="Times New Roman" w:hAnsi="Times New Roman"/>
          <w:b/>
          <w:sz w:val="20"/>
        </w:rPr>
        <w:t>What changed, and why.</w:t>
      </w:r>
      <w:r>
        <w:rPr>
          <w:rFonts w:ascii="Times New Roman" w:hAnsi="Times New Roman"/>
          <w:sz w:val="20"/>
        </w:rPr>
        <w:t xml:space="preserve"> Before verification we reported that no retrieval score separated the classes, that the median unanswerable question scored </w:t>
      </w:r>
      <w:r>
        <w:rPr>
          <w:rFonts w:ascii="Times New Roman" w:hAnsi="Times New Roman"/>
          <w:i/>
          <w:sz w:val="20"/>
        </w:rPr>
        <w:t>higher</w:t>
      </w:r>
      <w:r>
        <w:rPr>
          <w:rFonts w:ascii="Times New Roman" w:hAnsi="Times New Roman"/>
          <w:sz w:val="20"/>
        </w:rPr>
        <w:t xml:space="preserve"> than the median answerable one under BM25, and that the top score was the least informative feature. All three were properties of the unverified questions. Of the 400 bootstrapped items, 85 did not name what they were asking about and 112 were unreadable; a question that does not name its scheme retrieves weakly whether or not the corpus answers it, which pushed answerable scores down onto the unanswerable ones. The leakage control of §III-F rules out the other explanation — that rewritten questions copied their passage's wording — since same-script overlap is essentially unchanged (median Jaccard 0.077 against 0.066) and no cell shows a larger BM25 edge on its high-overlap half.</w:t>
      </w:r>
    </w:p>
    <w:p>
      <w:pPr>
        <w:spacing w:after="0"/>
        <w:ind w:firstLine="288"/>
        <w:jc w:val="both"/>
      </w:pPr>
      <w:r>
        <w:rPr>
          <w:rFonts w:ascii="Times New Roman" w:hAnsi="Times New Roman"/>
          <w:sz w:val="20"/>
        </w:rPr>
        <w:t>We draw two conclusions. A lexical retrieval score is a usable first-stage abstention signal on well-formed questions: it removes out-of-scope and most under-specified questions cheaply. It is not an answerability signal for the near-miss class, which needs a model to read the passage (§VI-H.1), and it must be read from the lexical score rather than from a rank-fused one.</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a seeded 36 and reporting on the remaining 84. Enrichment is what makes the per-class table legible — a proportional sample of affordable size leaves two or three false-premise items in the reported half — and it moves the unanswerable base rate to 0.667, so the precision figures below are not comparable to the 0.20-base-rate runs above.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accuracy</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F1</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0.702</w:t>
            </w:r>
          </w:p>
        </w:tc>
        <w:tc>
          <w:tcPr>
            <w:tcW w:type="dxa" w:w="1740"/>
          </w:tcPr>
          <w:p>
            <w:pPr>
              <w:spacing w:after="0"/>
            </w:pPr>
            <w:r>
              <w:rPr>
                <w:sz w:val="16"/>
              </w:rPr>
            </w:r>
            <w:r>
              <w:rPr>
                <w:rFonts w:ascii="Times New Roman" w:hAnsi="Times New Roman"/>
                <w:sz w:val="16"/>
              </w:rPr>
              <w:t>0.707</w:t>
            </w:r>
          </w:p>
        </w:tc>
        <w:tc>
          <w:tcPr>
            <w:tcW w:type="dxa" w:w="1740"/>
          </w:tcPr>
          <w:p>
            <w:pPr>
              <w:spacing w:after="0"/>
            </w:pPr>
            <w:r>
              <w:rPr>
                <w:sz w:val="16"/>
              </w:rPr>
            </w:r>
            <w:r>
              <w:rPr>
                <w:rFonts w:ascii="Times New Roman" w:hAnsi="Times New Roman"/>
                <w:sz w:val="16"/>
              </w:rPr>
              <w:t>0.946</w:t>
            </w:r>
          </w:p>
        </w:tc>
        <w:tc>
          <w:tcPr>
            <w:tcW w:type="dxa" w:w="1740"/>
          </w:tcPr>
          <w:p>
            <w:pPr>
              <w:spacing w:after="0"/>
            </w:pPr>
            <w:r>
              <w:rPr>
                <w:sz w:val="16"/>
              </w:rPr>
            </w:r>
            <w:r>
              <w:rPr>
                <w:rFonts w:ascii="Times New Roman" w:hAnsi="Times New Roman"/>
                <w:sz w:val="16"/>
              </w:rPr>
              <w:t>0.809</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b/>
                <w:sz w:val="16"/>
              </w:rPr>
              <w:t>1.000</w:t>
            </w:r>
          </w:p>
        </w:tc>
        <w:tc>
          <w:tcPr>
            <w:tcW w:type="dxa" w:w="1740"/>
          </w:tcPr>
          <w:p>
            <w:pPr>
              <w:spacing w:after="0"/>
            </w:pPr>
            <w:r>
              <w:rPr>
                <w:sz w:val="16"/>
              </w:rPr>
            </w:r>
            <w:r>
              <w:rPr>
                <w:rFonts w:ascii="Times New Roman" w:hAnsi="Times New Roman"/>
                <w:sz w:val="16"/>
              </w:rPr>
              <w:t>0.800</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0.821</w:t>
            </w:r>
          </w:p>
        </w:tc>
        <w:tc>
          <w:tcPr>
            <w:tcW w:type="dxa" w:w="1740"/>
          </w:tcPr>
          <w:p>
            <w:pPr>
              <w:spacing w:after="0"/>
            </w:pPr>
            <w:r>
              <w:rPr>
                <w:sz w:val="16"/>
              </w:rPr>
            </w:r>
            <w:r>
              <w:rPr>
                <w:rFonts w:ascii="Times New Roman" w:hAnsi="Times New Roman"/>
                <w:b/>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b/>
                <w:sz w:val="16"/>
              </w:rPr>
              <w:t>0.874</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0.821</w:t>
            </w:r>
          </w:p>
        </w:tc>
        <w:tc>
          <w:tcPr>
            <w:tcW w:type="dxa" w:w="1740"/>
          </w:tcPr>
          <w:p>
            <w:pPr>
              <w:spacing w:after="0"/>
            </w:pPr>
            <w:r>
              <w:rPr>
                <w:sz w:val="16"/>
              </w:rPr>
            </w:r>
            <w:r>
              <w:rPr>
                <w:rFonts w:ascii="Times New Roman" w:hAnsi="Times New Roman"/>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sz w:val="16"/>
              </w:rPr>
              <w:t>0.874</w:t>
            </w:r>
          </w:p>
        </w:tc>
      </w:tr>
    </w:tbl>
    <w:p>
      <w:pPr>
        <w:spacing w:after="40"/>
      </w:pPr>
    </w:p>
    <w:p>
      <w:pPr>
        <w:spacing w:after="0"/>
        <w:ind w:firstLine="288"/>
        <w:jc w:val="both"/>
      </w:pPr>
      <w:r>
        <w:rPr>
          <w:rFonts w:ascii="Times New Roman" w:hAnsi="Times New Roman"/>
          <w:b/>
          <w:sz w:val="20"/>
        </w:rPr>
        <w:t>The aggregate table is misleading and the confusion matrices are not.</w:t>
      </w:r>
      <w:r>
        <w:rPr>
          <w:rFonts w:ascii="Times New Roman" w:hAnsi="Times New Roman"/>
          <w:sz w:val="20"/>
        </w:rPr>
        <w:t xml:space="preserve"> Signal 4 reaches recall 1.000 by refusing every question in the reported set: 56 of 56 unanswerable caught, and 0 of 28 answerable answered. Its precision of 0.667 is the base rate exactly, which is what a system abstaining unconditionally scores. Signal 1 is the same failure in milder form, answering 6 of 28. Only the generator's self-report produces a system that answers anything: 17 of 28 answerable, while still catching 52 of 56 unanswerable.</w:t>
      </w:r>
    </w:p>
    <w:p>
      <w:pPr>
        <w:spacing w:after="0"/>
        <w:ind w:firstLine="288"/>
        <w:jc w:val="both"/>
      </w:pPr>
      <w:r>
        <w:rPr>
          <w:rFonts w:ascii="Times New Roman" w:hAnsi="Times New Roman"/>
          <w:sz w:val="20"/>
        </w:rPr>
        <w:t>Per-class recall has to be read against that. Signal 4 scores 1.000 on every unanswerable class and the number means nothing, because it abstains on everything and every class is "caught" by construction. The generator's figures are earned: false-premise 1.000, under-specified 1.000, near-miss 0.952, out-of-scope 0.824. Two of those rest on fewer questions than their counts suggest. The unanswerable scaffold cycles a fixed set of stems, so the 25 out-of-scope items hold 9 distinct questions and the 10 under-specified items hold 3, and each repeat is scored as independent evidence: under-specified's 1.000 is three questions refused correctly, counted up to four times each.</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bit-identical, and that is a result rather than a bug.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did the generator decline to answer. Neither the model's self-reported confidence nor the entailment probability improves on the binary abstention flag.</w:t>
      </w:r>
    </w:p>
    <w:p>
      <w:pPr>
        <w:spacing w:after="0"/>
        <w:ind w:firstLine="288"/>
        <w:jc w:val="both"/>
      </w:pPr>
      <w:r>
        <w:rPr>
          <w:rFonts w:ascii="Times New Roman" w:hAnsi="Times New Roman"/>
          <w:sz w:val="20"/>
        </w:rPr>
        <w:t xml:space="preserve">The reason is visible in the counts. Of the 120 sampled items the generator answered only 25, having abstained on the rest, and of those 25 just </w:t>
      </w:r>
      <w:r>
        <w:rPr>
          <w:rFonts w:ascii="Times New Roman" w:hAnsi="Times New Roman"/>
          <w:b/>
          <w:sz w:val="20"/>
        </w:rPr>
        <w:t>two</w:t>
      </w:r>
      <w:r>
        <w:rPr>
          <w:rFonts w:ascii="Times New Roman" w:hAnsi="Times New Roman"/>
          <w:sz w:val="20"/>
        </w:rPr>
        <w:t xml:space="preserve"> are truly unanswerable. There is almost nothing left for a second filter to catch, so no threshold on entailment can improve F1 and the fit correctly declines to set one.</w:t>
      </w:r>
    </w:p>
    <w:p>
      <w:pPr>
        <w:spacing w:after="0"/>
        <w:ind w:firstLine="288"/>
        <w:jc w:val="both"/>
      </w:pPr>
      <w:r>
        <w:rPr>
          <w:rFonts w:ascii="Times New Roman" w:hAnsi="Times New Roman"/>
          <w:sz w:val="20"/>
        </w:rPr>
        <w:t>Entailment is not uninformative — on those 25 answers it separates the classes with an AUC of 0.848, the two false positives scoring a median entailment of 0.045 against 0.428 for the correctly answered. But an AUC computed against two negatives is an observation, not a result, and we report it as one. What can be said firmly is that on this corpus the generator's own abstention already does the work the entailment check was added to do, and that a verification step has value in proportion to how much the generator lets through.</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In 16 of the 20 cases the gold passage is not returned at any rank, and all 20 are diagnosed as retrieval failures.</w:t>
      </w:r>
    </w:p>
    <w:p>
      <w:pPr>
        <w:spacing w:after="0"/>
        <w:ind w:firstLine="288"/>
        <w:jc w:val="both"/>
      </w:pPr>
      <w:r>
        <w:rPr>
          <w:rFonts w:ascii="Times New Roman" w:hAnsi="Times New Roman"/>
          <w:b/>
          <w:sz w:val="20"/>
        </w:rPr>
        <w:t>That unanimity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It would be a mistake to read "all 20 are retrieval" as evidence that the generator is sound, and §VI-G.1 shows the opposite: given the gold passage and nothing to find, the generator still loses 0.597 token-F1, three times what retrieval loses. The error analysis says where </w:t>
      </w:r>
      <w:r>
        <w:rPr>
          <w:rFonts w:ascii="Times New Roman" w:hAnsi="Times New Roman"/>
          <w:i/>
          <w:sz w:val="20"/>
        </w:rPr>
        <w:t>retrieval</w:t>
      </w:r>
      <w:r>
        <w:rPr>
          <w:rFonts w:ascii="Times New Roman" w:hAnsi="Times New Roman"/>
          <w:sz w:val="20"/>
        </w:rPr>
        <w:t xml:space="preserve"> fails and why; the oracle arm is what says how the two components compare.</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significantly better than the better of its two endpoints,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sealed test split of the verified gold set it takes cross-lingual Recall@5 from 0.274 under plain RRF to 0.685 (paired randomization test, p = 0.0001, n = 62), and overall Recall@5 from 0.618 to 0.750 (p = 0.0001, n = 216). On the probe set where it was found, the same correction took cross-lingual recall from 0.022 to 0.153.</w:t>
      </w:r>
    </w:p>
    <w:p>
      <w:pPr>
        <w:spacing w:after="0"/>
        <w:ind w:firstLine="288"/>
        <w:jc w:val="both"/>
      </w:pPr>
      <w:r>
        <w:rPr>
          <w:rFonts w:ascii="Times New Roman" w:hAnsi="Times New Roman"/>
          <w:sz w:val="20"/>
        </w:rPr>
        <w:t>The comparison against dense retrieval alone is the one that decides whether hybrid retrieval earns its place at all, and here the verified set is less generous than the probes were. Script-aware fusion beats e5-base alone by +0.030 overall on the test split (p = 0.052) and +0.027 on dev and test pooled (p = 0.021); by slice, the gain is significant only on code-mixed queries (+0.085, p = 0.0037), where Romanized questions carrying English scheme names give the lexical retriever something the dense one misses, and it is +0.024 on cross-lingual queries (p = 0.62). The honest reading is that the correction removes a harm plain fusion introduces, and that once removed, fusing adds a small gain over a strong multilingual dense retriever, concentrated in code-mixed queries.</w:t>
      </w:r>
    </w:p>
    <w:p>
      <w:pPr>
        <w:spacing w:after="0"/>
        <w:ind w:firstLine="288"/>
        <w:jc w:val="both"/>
      </w:pPr>
      <w:r>
        <w:rPr>
          <w:rFonts w:ascii="Times New Roman" w:hAnsi="Times New Roman"/>
          <w:sz w:val="20"/>
        </w:rPr>
        <w:t>This also revises a negative result reported earlier in the same work, though less than we first claimed. The α sweep found no interior weighting that beat both endpoints, and still finds none on the verified set (best α = 0.1 at 0.720 against 0.720 for pure dense, test split). We had read the script-aware result as showing that hybrid retrieval does beat its components once fusion stops penalising cross-script passages. On the verified set that holds for code-mixed queries and is within noise elsewhere.</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On the probe set the correction was a trade: monolingual Recall@5 fell from 0.712 to 0.668, a regression of 0.044 at p = 0.032, because removing the lexical double-vote discards agreement between retrievers exactly where both could see the same passage and agreement really was evidence.</w:t>
      </w:r>
    </w:p>
    <w:p>
      <w:pPr>
        <w:spacing w:after="0"/>
        <w:ind w:firstLine="288"/>
        <w:jc w:val="both"/>
      </w:pPr>
      <w:r>
        <w:rPr>
          <w:rFonts w:ascii="Times New Roman" w:hAnsi="Times New Roman"/>
          <w:b/>
          <w:sz w:val="20"/>
        </w:rPr>
        <w:t>On the verified set there is no cost to state.</w:t>
      </w:r>
      <w:r>
        <w:rPr>
          <w:rFonts w:ascii="Times New Roman" w:hAnsi="Times New Roman"/>
          <w:sz w:val="20"/>
        </w:rPr>
        <w:t xml:space="preserve"> Monolingual Recall@5 is 0.964 under both plain and script-aware fusion on the test split (p = 1.00), against 0.976 for dense alone (p = 0.75). The probe set's monolingual questions were built by lifting phrasing from their passages, which is the case where lexical agreement is most informative and discarding it costs most; real questions do not do that. We report the probe regression anyway, because on a deployment whose queries are overwhelmingly lexical-overlap monolingual ones it is the figure that would apply.</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no human annotator.</w:t>
      </w:r>
      <w:r>
        <w:rPr>
          <w:rFonts w:ascii="Times New Roman" w:hAnsi="Times New Roman"/>
          <w:sz w:val="20"/>
        </w:rPr>
        <w:t xml:space="preserve"> The evaluation set is 393 verified items, of which 313 are answerable, spread over six query-language-by-passage-language cells of 44 to 69 items, and the sealed test split holds 273 of them; per-cell differences of a few points are not resolvable. The larger limitation is who verified them. The protocol called for a person to confirm every item and for a second person to re-label a blind sample, with κ ≥ 0.70 as a gate on reporting any answerability result. Both steps were carried out by a language model instead (§III-D). The second pass agrees perfectly with the first, κ = 1.000 over 59 items, but two instances of one model share its blind spots, and the confirming pass had already dropped the items it disagreed with, so that figure measures consistency and is not the gate the protocol describes. The verification did find and remove real defects — wrong answers, unreadable translations, duplicated unanswerable items — and every figure in §VI rests on the corrected set; but a gold set checked only by a model inherits that model's judgement of what a passage states, and a human pass over at least the test split remains the most valuable single piece of outstanding work.</w:t>
      </w:r>
    </w:p>
    <w:p>
      <w:pPr>
        <w:spacing w:after="0"/>
        <w:ind w:firstLine="288"/>
        <w:jc w:val="both"/>
      </w:pPr>
      <w:r>
        <w:rPr>
          <w:rFonts w:ascii="Times New Roman" w:hAnsi="Times New Roman"/>
          <w:b/>
          <w:sz w:val="20"/>
        </w:rPr>
        <w:t>Probe-set figures are kept, and they disagree with the gold set.</w:t>
      </w:r>
      <w:r>
        <w:rPr>
          <w:rFonts w:ascii="Times New Roman" w:hAnsi="Times New Roman"/>
          <w:sz w:val="20"/>
        </w:rPr>
        <w:t xml:space="preserve"> The analyses in §VI-B to §VI-F were measured on 180 synthetic probes before the gold set existed, and are marked </w:t>
      </w:r>
      <w:r>
        <w:rPr>
          <w:rFonts w:ascii="Consolas" w:hAnsi="Consolas"/>
          <w:sz w:val="17"/>
        </w:rPr>
        <w:t>[PROBE]</w:t>
      </w:r>
      <w:r>
        <w:rPr>
          <w:rFonts w:ascii="Times New Roman" w:hAnsi="Times New Roman"/>
          <w:sz w:val="20"/>
        </w:rPr>
        <w:t>. The direction of the fusion result held on the verified set, as the mechanism predicted; the magnitudes did not. The probes understated the repair to plain fusion and overstated the gain over dense retrieval alone, and one probe-set observation — LaBSE leading the code-mixed slice — does not hold on real questions. Where they disagree, §VI-A stands.</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three encoders, not all of them.</w:t>
      </w:r>
      <w:r>
        <w:rPr>
          <w:rFonts w:ascii="Times New Roman" w:hAnsi="Times New Roman"/>
          <w:sz w:val="20"/>
        </w:rPr>
        <w:t xml:space="preserve"> §VI-A.1 applies it over multilingual-e5-base, MiniLM-L12 and LaBSE on the verified set, and it improves each (+0.028, +0.162, +0.085), more for the weaker encoders, which is what a claim about the arithmetic rather than the representation predicts. That is evidence for the generalisation in §VIII-E but not proof of it: three sentence encoders on one corpus is a narrow base, and we have not tested the mechanism on the non-language asymmetries §VIII-E claims it reaches.</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393-item evaluation set across six query-language-by-passage-language cells and a taxonomy of four unanswerable question types, verified by a language model and disclosed as such.</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on the verified test split cross-lingual Recall@5 rises from 0.274 to 0.685, with no measurable monolingual cost, no training and one additional lookup per candidate. Against a strong multilingual dense retriever used alone, the corrected hybrid gains little — +0.030 overall, significant only on code-mixed queries — so the finding is that standard fusion does harm and the correction removes it, not that fusion is a large win.</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Immediate future work is a human verification pass over the evaluation set, at least its test split, to replace the model verification it currently rests on;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