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negative result on retrieval-score answerability thresholds.</w:t>
      </w:r>
      <w:r>
        <w:rPr>
          <w:rFonts w:ascii="Times New Roman" w:hAnsi="Times New Roman"/>
          <w:sz w:val="20"/>
        </w:rPr>
        <w:t xml:space="preserve"> We show that the standard abstention signal carries no information on a corpus whose unanswerable questions concern present topics: answerable and unanswerable questions have indistinguishable top retrieval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threshold sweep stays at the 0.20 base rate. The mechanism is that a retrieval threshold is a corpus-absence detector, and answerability is not corpus absence.</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§VI-C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Passage identifiers are stable across re-segmentation runs, which the gold set, the embedding caches and the error analysis all depend on.</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(Construction complete; verification in progress. Final counts and κ pending.)</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We control for this in three ways: the generation prompt instructs paraphrase rather than extraction; we compute the content-token Jaccard overlap between every question and its gold passage and publish the distribution; and we report the headline retrieval comparison on the low-overlap tertile as well as on the full set. On the English-evidence cell completed to date, median overlap is 0.075 with a maximum of 0.186 — low enough that BM25 is not being handed its answer.</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Original surface text is retained alongside the normalized form throughout, so that citations display what the document actually said.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§VI-C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 Answerability is decided from retrieval-side features — top score, the top-1-to-top-2 margin, mean top-k similarity, score spread and scheme agreement across the retrieved set — with a threshold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Maximum similarity indicates how good the best passage looks; it does not indicate whether anything else looked equally good. A near-miss unanswerable question characteristically retrieves several passages at similar scores, because it matches a scheme's subject matter without matching any particular statement, whereas an answerable question usually has one clear winner. A high maximum score with a small margin is the signature of the hardest unanswerable class.</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MuRIL, pretrained on seventeen Indian languages, is the weakest dense encoder tested at 0.238 Recall@5 — below MiniLM-L12 at 0.303, a model with roughly half the parameters but trained with a retrieval objective.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 against 0.173 for script-aware fusion over BM25 and e5-base, and 0.132 for e5-base alone. On code-mixed queries, choosing a different encoder outperforms correcting the fusion over a weaker one, by a wide margin.</w:t>
      </w:r>
    </w:p>
    <w:p>
      <w:pPr>
        <w:spacing w:after="0"/>
        <w:ind w:firstLine="288"/>
        <w:jc w:val="both"/>
      </w:pPr>
      <w:r>
        <w:rPr>
          <w:rFonts w:ascii="Times New Roman" w:hAnsi="Times New Roman"/>
          <w:sz w:val="20"/>
        </w:rPr>
        <w:t xml:space="preserve">We state this plainly because it qualifies the practical reading of §VI-E. Two points bound it. The fusion correction is orthogonal to the choice of encoder: it is a statement about how rankings are combined, and nothing prevents applying it over LaBSE, which we have not tested and which we would expect to be stronger than either. And LaBSE does </w:t>
      </w:r>
      <w:r>
        <w:rPr>
          <w:rFonts w:ascii="Times New Roman" w:hAnsi="Times New Roman"/>
          <w:i/>
          <w:sz w:val="20"/>
        </w:rPr>
        <w:t>not</w:t>
      </w:r>
      <w:r>
        <w:rPr>
          <w:rFonts w:ascii="Times New Roman" w:hAnsi="Times New Roman"/>
          <w:sz w:val="20"/>
        </w:rPr>
        <w:t xml:space="preserve"> lead the cross-lingual slice — it scores 0.097 there, below both MiniLM and e5-base — so it is not a uniformly better choice but a differently shaped one.</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0.372</w:t>
            </w:r>
          </w:p>
        </w:tc>
        <w:tc>
          <w:tcPr>
            <w:tcW w:type="dxa" w:w="2088"/>
          </w:tcPr>
          <w:p>
            <w:pPr>
              <w:spacing w:after="0"/>
            </w:pPr>
            <w:r>
              <w:rPr>
                <w:sz w:val="16"/>
              </w:rPr>
            </w:r>
            <w:r>
              <w:rPr>
                <w:rFonts w:ascii="Times New Roman" w:hAnsi="Times New Roman"/>
                <w:sz w:val="16"/>
              </w:rPr>
              <w:t>0.237</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plotted as Figure 5,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0.372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natural-language inference does and what a retrieval score cannot. On the false-premise and near-miss items where the threshold is uninformative, NLI entailment identified the unanswerable item in 7 of 7 cases tested. That is a small sample and is reported as such; the full comparison runs with Module 4.</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Categories that are genuinely about generation, such as amounts and dates, are comparatively rare in this sample, which is itself informative: on this corpus the generator is not the bottleneck.</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one encoder pair.</w:t>
      </w:r>
      <w:r>
        <w:rPr>
          <w:rFonts w:ascii="Times New Roman" w:hAnsi="Times New Roman"/>
          <w:sz w:val="20"/>
        </w:rPr>
        <w:t xml:space="preserve"> Script-aware fusion is evaluated over BM25 and multilingual-e5-base. As §VI-F reports, LaBSE used alone outperforms that fused system on the code-mixed slice by a wide margin (0.332 against 0.173), which means that on code-mixed queries a better encoder choice beats correcting the fusion over a weaker one. The correction is orthogonal to encoder choice and could be applied over LaBSE; we have not tested that combination, and until we do, our results establish that script-aware fusion repairs a specific defect in rank fusion, not that the resulting system is the strongest available configuration.</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