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0"/>
        <w:ind w:firstLine="288"/>
        <w:jc w:val="both"/>
      </w:pPr>
      <w:r>
        <w:rPr>
          <w:rFonts w:ascii="Times New Roman" w:hAnsi="Times New Roman"/>
          <w:i/>
          <w:sz w:val="20"/>
        </w:rPr>
        <w:t>(178 words. Figures marked `[PROBE]`; to be re-measured on the gold set.)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Reciprocal Rank Fusion reaches 0.022 Recall@5 on cross-lingual queries against 0.125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recovering 0.153 cross-lingual and 0.173 code-mixed Recall@5 (p = 0.0001, p = 0.0002) at a cost of 0.044 monolingual Recall@5. We release a 400-item bilingual QA set with an explicit query-language × evidence-language matrix and a four-class unanswerable taxonomy.</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our corpus, plain RRF reaches 0.022 Recall@5 on cross-lingual queries while its own dense retriever, used alone, reaches 0.125.</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0.022 to 0.153 and code-mixed from 0.028 to 0.173, at a measured and reported cost of 0.044 on monolingual queries.</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400 items over Indian government welfare schemes, with an explicit query-language × evidence-language matrix covering six cells, a four-class unanswerable taxonomy, per-item gold passage identifiers, and a documented annotation protocol with blind second-pass agreement.</w:t>
      </w:r>
    </w:p>
    <w:p>
      <w:pPr>
        <w:pStyle w:val="ListBullet"/>
        <w:spacing w:after="0"/>
      </w:pPr>
      <w:r>
        <w:rPr>
          <w:rFonts w:ascii="Times New Roman" w:hAnsi="Times New Roman"/>
          <w:b/>
          <w:sz w:val="20"/>
        </w:rPr>
        <w:t>A negative result on retrieval-score answerability thresholds.</w:t>
      </w:r>
      <w:r>
        <w:rPr>
          <w:rFonts w:ascii="Times New Roman" w:hAnsi="Times New Roman"/>
          <w:sz w:val="20"/>
        </w:rPr>
        <w:t xml:space="preserve"> We show that the standard abstention signal carries no information on a corpus whose unanswerable questions concern present topics: answerable and unanswerable questions have indistinguishable top retrieval scores — 13.55 against 13.82 for BM25, with the </w:t>
      </w:r>
      <w:r>
        <w:rPr>
          <w:rFonts w:ascii="Times New Roman" w:hAnsi="Times New Roman"/>
          <w:i/>
          <w:sz w:val="20"/>
        </w:rPr>
        <w:t>unanswerable</w:t>
      </w:r>
      <w:r>
        <w:rPr>
          <w:rFonts w:ascii="Times New Roman" w:hAnsi="Times New Roman"/>
          <w:sz w:val="20"/>
        </w:rPr>
        <w:t xml:space="preserve"> marginally higher — and precision across the full threshold sweep stays at the 0.20 base rate. The mechanism is that a retrieval threshold is a corpus-absence detector, and answerability is not corpus absence.</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§VI-C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and those retrieve exactly as well as answerable questions do. A retrieval-score threshold is a corpus-absence detector, so it can only see the 25 out-of-scope items, and over the stratified set it carries no information at all — answerable and unanswerable medians of 13.55 and 13.82 under BM25, with precision pinned at the base rate across every threshold. A single F1 over an undifferentiated unanswerable class hides that completely.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Passage identifiers are stable across re-segmentation runs, which the gold set, the embedding caches and the error analysis all depend on.</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(Construction complete; verification in progress. Final counts and κ pending.)</w:t>
      </w:r>
    </w:p>
    <w:p>
      <w:pPr>
        <w:spacing w:after="0"/>
        <w:ind w:firstLine="288"/>
        <w:jc w:val="both"/>
      </w:pPr>
      <w:r>
        <w:rPr>
          <w:rFonts w:ascii="Times New Roman" w:hAnsi="Times New Roman"/>
          <w:sz w:val="20"/>
        </w:rPr>
        <w:t xml:space="preserve">The set comprises 400 instances: 320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70</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115</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60</w:t>
            </w:r>
          </w:p>
        </w:tc>
        <w:tc>
          <w:tcPr>
            <w:tcW w:type="dxa" w:w="2610"/>
          </w:tcPr>
          <w:p>
            <w:pPr>
              <w:spacing w:after="0"/>
            </w:pPr>
            <w:r>
              <w:rPr>
                <w:sz w:val="16"/>
              </w:rPr>
            </w:r>
            <w:r>
              <w:rPr>
                <w:rFonts w:ascii="Times New Roman" w:hAnsi="Times New Roman"/>
                <w:sz w:val="16"/>
              </w:rPr>
              <w:t>105</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55</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100</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170</w:t>
            </w:r>
          </w:p>
        </w:tc>
        <w:tc>
          <w:tcPr>
            <w:tcW w:type="dxa" w:w="2610"/>
          </w:tcPr>
          <w:p>
            <w:pPr>
              <w:spacing w:after="0"/>
            </w:pPr>
            <w:r>
              <w:rPr>
                <w:sz w:val="16"/>
              </w:rPr>
            </w:r>
            <w:r>
              <w:rPr>
                <w:rFonts w:ascii="Times New Roman" w:hAnsi="Times New Roman"/>
                <w:sz w:val="16"/>
              </w:rPr>
              <w:t>150</w:t>
            </w:r>
          </w:p>
        </w:tc>
        <w:tc>
          <w:tcPr>
            <w:tcW w:type="dxa" w:w="2610"/>
          </w:tcPr>
          <w:p>
            <w:pPr>
              <w:spacing w:after="0"/>
            </w:pPr>
            <w:r>
              <w:rPr>
                <w:sz w:val="16"/>
              </w:rPr>
            </w:r>
            <w:r>
              <w:rPr>
                <w:rFonts w:ascii="Times New Roman" w:hAnsi="Times New Roman"/>
                <w:b/>
                <w:sz w:val="16"/>
              </w:rPr>
              <w:t>320</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(130), where query and evidence share a language and script; </w:t>
      </w:r>
      <w:r>
        <w:rPr>
          <w:rFonts w:ascii="Times New Roman" w:hAnsi="Times New Roman"/>
          <w:b/>
          <w:sz w:val="20"/>
        </w:rPr>
        <w:t>cross-lingual</w:t>
      </w:r>
      <w:r>
        <w:rPr>
          <w:rFonts w:ascii="Times New Roman" w:hAnsi="Times New Roman"/>
          <w:sz w:val="20"/>
        </w:rPr>
        <w:t xml:space="preserve"> (90), different languages each in native script; and </w:t>
      </w:r>
      <w:r>
        <w:rPr>
          <w:rFonts w:ascii="Times New Roman" w:hAnsi="Times New Roman"/>
          <w:b/>
          <w:sz w:val="20"/>
        </w:rPr>
        <w:t>code-mixed</w:t>
      </w:r>
      <w:r>
        <w:rPr>
          <w:rFonts w:ascii="Times New Roman" w:hAnsi="Times New Roman"/>
          <w:sz w:val="20"/>
        </w:rPr>
        <w:t xml:space="preserve"> (100),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Candidates are bootstrapped with a locally hosted quantized model (Qwen2.5-3B-Instruct, Q4_K_M) and then verified by a human annotator. An item remains marked unverified until a person confirms the question is answerable from the cited passage and corrects the gold answer to the document's exact wording; unverified items are excluded from every reported metric.</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We control for this in three ways: the generation prompt instructs paraphrase rather than extraction; we compute the content-token Jaccard overlap between every question and its gold passage and publish the distribution; and we report the headline retrieval comparison on the low-overlap tertile as well as on the full set. On the English-evidence cell completed to date, median overlap is 0.075 with a maximum of 0.186 — low enough that BM25 is not being handed its answer.</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Original surface text is retained alongside the normalized form throughout, so that citations display what the document actually said.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Min-max is preferred to z-score normalization because BM25 score distributions are strongly right-skewed and z-score leaves the fused ranking dominated by lexical outliers; both are implemented so the choice is ablatable rather than asserted. 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§VI-C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 Answerability is decided from retrieval-side features — top score, the top-1-to-top-2 margin, mean top-k similarity, score spread and scheme agreement across the retrieved set — with a threshold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Maximum similarity indicates how good the best passage looks; it does not indicate whether anything else looked equally good. A near-miss unanswerable question characteristically retrieves several passages at similar scores, because it matches a scheme's subject matter without matching any particular statement, whereas an answerable question usually has one clear winner. A high maximum score with a small margin is the signature of the hardest unanswerable class.</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280-item test split</w:t>
      </w:r>
      <w:r>
        <w:rPr>
          <w:rFonts w:ascii="Times New Roman" w:hAnsi="Times New Roman"/>
          <w:sz w:val="20"/>
        </w:rPr>
        <w:t>,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What the probe set can support</w:t>
      </w:r>
    </w:p>
    <w:p>
      <w:pPr>
        <w:spacing w:after="0"/>
        <w:ind w:firstLine="288"/>
        <w:jc w:val="both"/>
      </w:pPr>
      <w:r>
        <w:rPr>
          <w:rFonts w:ascii="Times New Roman" w:hAnsi="Times New Roman"/>
          <w:sz w:val="20"/>
        </w:rPr>
        <w:t>All results in this section are measured on 180 synthetic probes constructed from real passages and real article titles, with ground truth by construction. The human-verified 400-item set exists but has not completed verification, and no number here is reported as a gold-set result.</w:t>
      </w:r>
    </w:p>
    <w:p>
      <w:pPr>
        <w:spacing w:after="0"/>
        <w:ind w:firstLine="288"/>
        <w:jc w:val="both"/>
      </w:pPr>
      <w:r>
        <w:rPr>
          <w:rFonts w:ascii="Times New Roman" w:hAnsi="Times New Roman"/>
          <w:sz w:val="20"/>
        </w:rPr>
        <w:t xml:space="preserve">The probe set's composition bounds what it can show. 120 of the 180 probes are monolingual, and a substantial share are </w:t>
      </w:r>
      <w:r>
        <w:rPr>
          <w:rFonts w:ascii="Times New Roman" w:hAnsi="Times New Roman"/>
          <w:i/>
          <w:sz w:val="20"/>
        </w:rPr>
        <w:t>fragment</w:t>
      </w:r>
      <w:r>
        <w:rPr>
          <w:rFonts w:ascii="Times New Roman" w:hAnsi="Times New Roman"/>
          <w:sz w:val="20"/>
        </w:rPr>
        <w:t>-shaped, lifting phrasing directly from the target passage. This flatters lexical retrieval considerably. The cross-lingual probes have near-zero lexical overlap by construction and are the only shape that speaks honestly to cross-lingual retrieval.</w:t>
      </w:r>
    </w:p>
    <w:p>
      <w:pPr>
        <w:spacing w:after="0"/>
        <w:ind w:firstLine="288"/>
        <w:jc w:val="both"/>
      </w:pPr>
      <w:r>
        <w:rPr>
          <w:rFonts w:ascii="Times New Roman" w:hAnsi="Times New Roman"/>
          <w:sz w:val="20"/>
        </w:rPr>
        <w:t xml:space="preserve">We therefore draw no conclusion from these probes about the </w:t>
      </w:r>
      <w:r>
        <w:rPr>
          <w:rFonts w:ascii="Times New Roman" w:hAnsi="Times New Roman"/>
          <w:i/>
          <w:sz w:val="20"/>
        </w:rPr>
        <w:t>ranking</w:t>
      </w:r>
      <w:r>
        <w:rPr>
          <w:rFonts w:ascii="Times New Roman" w:hAnsi="Times New Roman"/>
          <w:sz w:val="20"/>
        </w:rPr>
        <w:t xml:space="preserve"> of retrievers overall. What the probe set does support is the finding this paper turns on, because that finding is structural rather than statistical: a lexical retriever's recall across a script boundary is zero by construction, and a probe set cannot manufacture that. The magnitudes below may move on the gold set. The mechanism will not.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Lexical retrieval does not cross the language boundary at all. BM25 scores 0.740 monolingual and 0.006 cross-lingual — a factor of more than a hundred.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MuRIL, pretrained on seventeen Indian languages, is the weakest dense encoder tested at 0.238 Recall@5 — below MiniLM-L12 at 0.303, a model with roughly half the parameters but trained with a retrieval objective.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which found no interior weighting beating both endpoints by more than 0.001 and recorded the hybrid hypothesis as unsupported. That verdict was correct about weighted fusion and wrong about the hypothesis: hybrid retrieval does beat its components here, once fusion stops penalising passages for their script.</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 against 0.173 for script-aware fusion over BM25 and e5-base, and 0.132 for e5-base alone. On code-mixed queries, choosing a different encoder outperforms correcting the fusion over a weaker one, by a wide margin.</w:t>
      </w:r>
    </w:p>
    <w:p>
      <w:pPr>
        <w:spacing w:after="0"/>
        <w:ind w:firstLine="288"/>
        <w:jc w:val="both"/>
      </w:pPr>
      <w:r>
        <w:rPr>
          <w:rFonts w:ascii="Times New Roman" w:hAnsi="Times New Roman"/>
          <w:sz w:val="20"/>
        </w:rPr>
        <w:t xml:space="preserve">We state this plainly because it qualifies the practical reading of §VI-E. Two points bound it. The fusion correction is orthogonal to the choice of encoder: it is a statement about how rankings are combined, and nothing prevents applying it over LaBSE, which we have not tested and which we would expect to be stronger than either. And LaBSE does </w:t>
      </w:r>
      <w:r>
        <w:rPr>
          <w:rFonts w:ascii="Times New Roman" w:hAnsi="Times New Roman"/>
          <w:i/>
          <w:sz w:val="20"/>
        </w:rPr>
        <w:t>not</w:t>
      </w:r>
      <w:r>
        <w:rPr>
          <w:rFonts w:ascii="Times New Roman" w:hAnsi="Times New Roman"/>
          <w:sz w:val="20"/>
        </w:rPr>
        <w:t xml:space="preserve"> lead the cross-lingual slice — it scores 0.097 there, below both MiniLM and e5-base — so it is not a uniformly better choice but a differently shaped one.</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If this survives the gold set, the practical guidance is to select the encoder by query </w:t>
      </w:r>
      <w:r>
        <w:rPr>
          <w:rFonts w:ascii="Times New Roman" w:hAnsi="Times New Roman"/>
          <w:i/>
          <w:sz w:val="20"/>
        </w:rPr>
        <w:t>script</w:t>
      </w:r>
      <w:r>
        <w:rPr>
          <w:rFonts w:ascii="Times New Roman" w:hAnsi="Times New Roman"/>
          <w:sz w:val="20"/>
        </w:rPr>
        <w:t xml:space="preserve"> rather than by language coverage, and it is the most immediately useful finding in this section. It needs the gold set before it can be claimed.</w:t>
      </w:r>
    </w:p>
    <w:p>
      <w:pPr>
        <w:spacing w:before="200" w:after="80"/>
        <w:jc w:val="left"/>
      </w:pPr>
      <w:r>
        <w:rPr>
          <w:rFonts w:ascii="Times New Roman" w:hAnsi="Times New Roman"/>
          <w:i/>
          <w:sz w:val="20"/>
        </w:rPr>
        <w:t>G. Direct LLM against RAG (Module 4)</w:t>
      </w:r>
    </w:p>
    <w:p>
      <w:pPr>
        <w:spacing w:after="120"/>
        <w:ind w:firstLine="0" w:left="216"/>
        <w:jc w:val="both"/>
      </w:pPr>
      <w:r>
        <w:rPr>
          <w:rFonts w:ascii="Times New Roman" w:hAnsi="Times New Roman"/>
          <w:b/>
          <w:sz w:val="20"/>
        </w:rPr>
        <w:t>Pending.</w:t>
      </w:r>
      <w:r>
        <w:rPr>
          <w:rFonts w:ascii="Times New Roman" w:hAnsi="Times New Roman"/>
          <w:sz w:val="20"/>
        </w:rPr>
        <w:t xml:space="preserve"> The generation sweep over arms A (closed-book), B (RAG-dense), C (RAG-hybrid) and D (RAG-oracle) is running on a stratified 72-item sample balanced across the six language-pair cells. Generations are cached per arm, so this table fills in without re-running completed work. The results to be reported here are Exact Match and script-aware token F1 per arm, Citation Support Rate under both lexical and NLI verification, abstention rate, and the fabricated-citation rate — the last being the rate at which an arm names a passage id that does not exist, which arm A can do only by invention.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and on this corpus it does not work at any operating point. The reason is not that it is poorly calibrated. It is that the quantity it thresholds does not separate the classes.</w:t>
      </w:r>
    </w:p>
    <w:p>
      <w:pPr>
        <w:spacing w:after="0"/>
        <w:ind w:firstLine="288"/>
        <w:jc w:val="both"/>
      </w:pPr>
      <w:r>
        <w:rPr>
          <w:rFonts w:ascii="Times New Roman" w:hAnsi="Times New Roman"/>
          <w:b/>
          <w:sz w:val="20"/>
        </w:rPr>
        <w:t>Top retrieval score by gold label, all 400 items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Retriever</w:t>
            </w:r>
          </w:p>
        </w:tc>
        <w:tc>
          <w:tcPr>
            <w:tcW w:type="dxa" w:w="2088"/>
          </w:tcPr>
          <w:p>
            <w:pPr>
              <w:spacing w:after="0"/>
            </w:pPr>
            <w:r/>
            <w:r>
              <w:rPr>
                <w:rFonts w:ascii="Times New Roman" w:hAnsi="Times New Roman"/>
                <w:b/>
                <w:sz w:val="16"/>
              </w:rPr>
              <w:t>answerable</w:t>
            </w:r>
          </w:p>
        </w:tc>
        <w:tc>
          <w:tcPr>
            <w:tcW w:type="dxa" w:w="2088"/>
          </w:tcPr>
          <w:p>
            <w:pPr>
              <w:spacing w:after="0"/>
            </w:pPr>
            <w:r/>
            <w:r>
              <w:rPr>
                <w:rFonts w:ascii="Times New Roman" w:hAnsi="Times New Roman"/>
                <w:b/>
                <w:sz w:val="16"/>
              </w:rPr>
              <w:t>unanswerable</w:t>
            </w:r>
          </w:p>
        </w:tc>
        <w:tc>
          <w:tcPr>
            <w:tcW w:type="dxa" w:w="2088"/>
          </w:tcPr>
          <w:p>
            <w:pPr>
              <w:spacing w:after="0"/>
            </w:pPr>
            <w:r/>
            <w:r>
              <w:rPr>
                <w:rFonts w:ascii="Times New Roman" w:hAnsi="Times New Roman"/>
                <w:b/>
                <w:sz w:val="16"/>
              </w:rPr>
              <w:t>best F1</w:t>
            </w:r>
          </w:p>
        </w:tc>
        <w:tc>
          <w:tcPr>
            <w:tcW w:type="dxa" w:w="2088"/>
          </w:tcPr>
          <w:p>
            <w:pPr>
              <w:spacing w:after="0"/>
            </w:pPr>
            <w:r/>
            <w:r>
              <w:rPr>
                <w:rFonts w:ascii="Times New Roman" w:hAnsi="Times New Roman"/>
                <w:b/>
                <w:sz w:val="16"/>
              </w:rPr>
              <w:t>precision at best</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13.55</w:t>
            </w:r>
          </w:p>
        </w:tc>
        <w:tc>
          <w:tcPr>
            <w:tcW w:type="dxa" w:w="2088"/>
          </w:tcPr>
          <w:p>
            <w:pPr>
              <w:spacing w:after="0"/>
            </w:pPr>
            <w:r>
              <w:rPr>
                <w:sz w:val="16"/>
              </w:rPr>
            </w:r>
            <w:r>
              <w:rPr>
                <w:rFonts w:ascii="Times New Roman" w:hAnsi="Times New Roman"/>
                <w:b/>
                <w:sz w:val="16"/>
              </w:rPr>
              <w:t>13.82</w:t>
            </w:r>
          </w:p>
        </w:tc>
        <w:tc>
          <w:tcPr>
            <w:tcW w:type="dxa" w:w="2088"/>
          </w:tcPr>
          <w:p>
            <w:pPr>
              <w:spacing w:after="0"/>
            </w:pPr>
            <w:r>
              <w:rPr>
                <w:sz w:val="16"/>
              </w:rPr>
            </w:r>
            <w:r>
              <w:rPr>
                <w:rFonts w:ascii="Times New Roman" w:hAnsi="Times New Roman"/>
                <w:sz w:val="16"/>
              </w:rPr>
              <w:t>0.372</w:t>
            </w:r>
          </w:p>
        </w:tc>
        <w:tc>
          <w:tcPr>
            <w:tcW w:type="dxa" w:w="2088"/>
          </w:tcPr>
          <w:p>
            <w:pPr>
              <w:spacing w:after="0"/>
            </w:pPr>
            <w:r>
              <w:rPr>
                <w:sz w:val="16"/>
              </w:rPr>
            </w:r>
            <w:r>
              <w:rPr>
                <w:rFonts w:ascii="Times New Roman" w:hAnsi="Times New Roman"/>
                <w:sz w:val="16"/>
              </w:rPr>
              <w:t>0.237</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0.1424</w:t>
            </w:r>
          </w:p>
        </w:tc>
        <w:tc>
          <w:tcPr>
            <w:tcW w:type="dxa" w:w="2088"/>
          </w:tcPr>
          <w:p>
            <w:pPr>
              <w:spacing w:after="0"/>
            </w:pPr>
            <w:r>
              <w:rPr>
                <w:sz w:val="16"/>
              </w:rPr>
            </w:r>
            <w:r>
              <w:rPr>
                <w:rFonts w:ascii="Times New Roman" w:hAnsi="Times New Roman"/>
                <w:b/>
                <w:sz w:val="16"/>
              </w:rPr>
              <w:t>0.1485</w:t>
            </w:r>
          </w:p>
        </w:tc>
        <w:tc>
          <w:tcPr>
            <w:tcW w:type="dxa" w:w="2088"/>
          </w:tcPr>
          <w:p>
            <w:pPr>
              <w:spacing w:after="0"/>
            </w:pPr>
            <w:r>
              <w:rPr>
                <w:sz w:val="16"/>
              </w:rPr>
            </w:r>
            <w:r>
              <w:rPr>
                <w:rFonts w:ascii="Times New Roman" w:hAnsi="Times New Roman"/>
                <w:sz w:val="16"/>
              </w:rPr>
              <w:t>0.370</w:t>
            </w:r>
          </w:p>
        </w:tc>
        <w:tc>
          <w:tcPr>
            <w:tcW w:type="dxa" w:w="2088"/>
          </w:tcPr>
          <w:p>
            <w:pPr>
              <w:spacing w:after="0"/>
            </w:pPr>
            <w:r>
              <w:rPr>
                <w:sz w:val="16"/>
              </w:rPr>
            </w:r>
            <w:r>
              <w:rPr>
                <w:rFonts w:ascii="Times New Roman" w:hAnsi="Times New Roman"/>
                <w:sz w:val="16"/>
              </w:rPr>
              <w:t>0.231</w:t>
            </w:r>
          </w:p>
        </w:tc>
      </w:tr>
      <w:tr>
        <w:tc>
          <w:tcPr>
            <w:tcW w:type="dxa" w:w="2088"/>
          </w:tcPr>
          <w:p>
            <w:pPr>
              <w:spacing w:after="0"/>
            </w:pPr>
            <w:r>
              <w:rPr>
                <w:sz w:val="16"/>
              </w:rPr>
            </w:r>
            <w:r>
              <w:rPr>
                <w:rFonts w:ascii="Times New Roman" w:hAnsi="Times New Roman"/>
                <w:sz w:val="16"/>
              </w:rPr>
              <w:t>Script-aware RRF</w:t>
            </w:r>
          </w:p>
        </w:tc>
        <w:tc>
          <w:tcPr>
            <w:tcW w:type="dxa" w:w="2088"/>
          </w:tcPr>
          <w:p>
            <w:pPr>
              <w:spacing w:after="0"/>
            </w:pPr>
            <w:r>
              <w:rPr>
                <w:sz w:val="16"/>
              </w:rPr>
            </w:r>
            <w:r>
              <w:rPr>
                <w:rFonts w:ascii="Times New Roman" w:hAnsi="Times New Roman"/>
                <w:sz w:val="16"/>
              </w:rPr>
              <w:t>0.0327</w:t>
            </w:r>
          </w:p>
        </w:tc>
        <w:tc>
          <w:tcPr>
            <w:tcW w:type="dxa" w:w="2088"/>
          </w:tcPr>
          <w:p>
            <w:pPr>
              <w:spacing w:after="0"/>
            </w:pPr>
            <w:r>
              <w:rPr>
                <w:sz w:val="16"/>
              </w:rPr>
            </w:r>
            <w:r>
              <w:rPr>
                <w:rFonts w:ascii="Times New Roman" w:hAnsi="Times New Roman"/>
                <w:sz w:val="16"/>
              </w:rPr>
              <w:t>0.0325</w:t>
            </w:r>
          </w:p>
        </w:tc>
        <w:tc>
          <w:tcPr>
            <w:tcW w:type="dxa" w:w="2088"/>
          </w:tcPr>
          <w:p>
            <w:pPr>
              <w:spacing w:after="0"/>
            </w:pPr>
            <w:r>
              <w:rPr>
                <w:sz w:val="16"/>
              </w:rPr>
            </w:r>
            <w:r>
              <w:rPr>
                <w:rFonts w:ascii="Times New Roman" w:hAnsi="Times New Roman"/>
                <w:sz w:val="16"/>
              </w:rPr>
              <w:t>0.351</w:t>
            </w:r>
          </w:p>
        </w:tc>
        <w:tc>
          <w:tcPr>
            <w:tcW w:type="dxa" w:w="2088"/>
          </w:tcPr>
          <w:p>
            <w:pPr>
              <w:spacing w:after="0"/>
            </w:pPr>
            <w:r>
              <w:rPr>
                <w:sz w:val="16"/>
              </w:rPr>
            </w:r>
            <w:r>
              <w:rPr>
                <w:rFonts w:ascii="Times New Roman" w:hAnsi="Times New Roman"/>
                <w:sz w:val="16"/>
              </w:rPr>
              <w:t>0.216</w:t>
            </w:r>
          </w:p>
        </w:tc>
      </w:tr>
    </w:tbl>
    <w:p>
      <w:pPr>
        <w:spacing w:after="40"/>
      </w:pPr>
    </w:p>
    <w:p>
      <w:pPr>
        <w:spacing w:after="0"/>
        <w:ind w:firstLine="288"/>
        <w:jc w:val="both"/>
      </w:pPr>
      <w:r>
        <w:rPr>
          <w:rFonts w:ascii="Times New Roman" w:hAnsi="Times New Roman"/>
          <w:sz w:val="20"/>
        </w:rPr>
        <w:t xml:space="preserve">The medians are indistinguishable, and in two of the three retrievers the </w:t>
      </w:r>
      <w:r>
        <w:rPr>
          <w:rFonts w:ascii="Times New Roman" w:hAnsi="Times New Roman"/>
          <w:i/>
          <w:sz w:val="20"/>
        </w:rPr>
        <w:t>unanswerable</w:t>
      </w:r>
      <w:r>
        <w:rPr>
          <w:rFonts w:ascii="Times New Roman" w:hAnsi="Times New Roman"/>
          <w:sz w:val="20"/>
        </w:rPr>
        <w:t xml:space="preserve"> questions score marginally higher — the opposite of the direction a threshold assumes. Across the full sweep of τ, precision never leaves the neighbourhood of 0.21–0.24 against an unanswerable base rate of 0.20, which is the signature of a signal carrying no information: abstaining at random achieves precision equal to the prevalence.</w:t>
      </w:r>
    </w:p>
    <w:p>
      <w:pPr>
        <w:spacing w:after="0"/>
        <w:ind w:firstLine="288"/>
        <w:jc w:val="both"/>
      </w:pPr>
      <w:r>
        <w:rPr>
          <w:rFonts w:ascii="Times New Roman" w:hAnsi="Times New Roman"/>
          <w:sz w:val="20"/>
        </w:rPr>
        <w:t>The best F1 of 0.372 is reached at 86% abstention. Those two numbers have to be read together. A recall of 0.93 on the unanswerable class, bought by refusing most of the answerable questions as well, is not detection; it is silence.</w:t>
      </w:r>
    </w:p>
    <w:p>
      <w:pPr>
        <w:spacing w:after="0"/>
        <w:ind w:firstLine="288"/>
        <w:jc w:val="both"/>
      </w:pPr>
      <w:r>
        <w:rPr>
          <w:rFonts w:ascii="Times New Roman" w:hAnsi="Times New Roman"/>
          <w:b/>
          <w:sz w:val="20"/>
        </w:rPr>
        <w:t>This follows from the dataset rather than from the retriever.</w:t>
      </w:r>
      <w:r>
        <w:rPr>
          <w:rFonts w:ascii="Times New Roman" w:hAnsi="Times New Roman"/>
          <w:sz w:val="20"/>
        </w:rPr>
        <w:t xml:space="preserve"> Of the 80 unanswerable items, 55 — the near-miss, false-premise and under-specified classes — are deliberately written about schemes that </w:t>
      </w:r>
      <w:r>
        <w:rPr>
          <w:rFonts w:ascii="Times New Roman" w:hAnsi="Times New Roman"/>
          <w:i/>
          <w:sz w:val="20"/>
        </w:rPr>
        <w:t>are</w:t>
      </w:r>
      <w:r>
        <w:rPr>
          <w:rFonts w:ascii="Times New Roman" w:hAnsi="Times New Roman"/>
          <w:sz w:val="20"/>
        </w:rPr>
        <w:t xml:space="preserve"> in the corpus. A false-premise question names a real scheme and asserts something untrue of it; a near-miss question matches a scheme's subject matter without matching any particular statement. Such questions retrieve exactly as well as answerable ones, because the passages they retrieve are genuinely about the topic. Only the 25 out-of-scope items concern absent subjects, and those are the only ones a retrieval score can see.</w:t>
      </w:r>
    </w:p>
    <w:p>
      <w:pPr>
        <w:spacing w:after="0"/>
        <w:ind w:firstLine="288"/>
        <w:jc w:val="both"/>
      </w:pPr>
      <w:r>
        <w:rPr>
          <w:rFonts w:ascii="Times New Roman" w:hAnsi="Times New Roman"/>
          <w:sz w:val="20"/>
        </w:rPr>
        <w:t>A corpus-absence detector is therefore what a retrieval threshold is, and answerability is not corpus absence. The distinction matters for deployment: a system fielding questions about schemes it documents will meet the hard classes far more often than the easy one.</w:t>
      </w:r>
    </w:p>
    <w:p>
      <w:pPr>
        <w:spacing w:after="0"/>
        <w:ind w:firstLine="288"/>
        <w:jc w:val="both"/>
      </w:pPr>
      <w:r>
        <w:rPr>
          <w:rFonts w:ascii="Times New Roman" w:hAnsi="Times New Roman"/>
          <w:sz w:val="20"/>
        </w:rPr>
        <w:t xml:space="preserve">We draw two conclusions. The first is negative and firm: </w:t>
      </w:r>
      <w:r>
        <w:rPr>
          <w:rFonts w:ascii="Times New Roman" w:hAnsi="Times New Roman"/>
          <w:b/>
          <w:sz w:val="20"/>
        </w:rPr>
        <w:t>retrieval-score thresholds should not be used as answerability signals on corpora where unanswerable questions concern present topics</w:t>
      </w:r>
      <w:r>
        <w:rPr>
          <w:rFonts w:ascii="Times New Roman" w:hAnsi="Times New Roman"/>
          <w:sz w:val="20"/>
        </w:rPr>
        <w:t xml:space="preserve">, and reporting a single fitted operating point conceals this, because the fitted point moves from 0.000 recall to 0.93 depending only on the split while the underlying curve stays flat. The second is the motivation for §IV-F: deciding whether a </w:t>
      </w:r>
      <w:r>
        <w:rPr>
          <w:rFonts w:ascii="Times New Roman" w:hAnsi="Times New Roman"/>
          <w:i/>
          <w:sz w:val="20"/>
        </w:rPr>
        <w:t>specific claim</w:t>
      </w:r>
      <w:r>
        <w:rPr>
          <w:rFonts w:ascii="Times New Roman" w:hAnsi="Times New Roman"/>
          <w:sz w:val="20"/>
        </w:rPr>
        <w:t xml:space="preserve"> is supported requires reading the passage, which is what natural-language inference does and what a retrieval score cannot. On the false-premise and near-miss items where the threshold is uninformative, NLI entailment identified the unanswerable item in 7 of 7 cases tested. That is a small sample and is reported as such; the full comparison runs with Module 4.</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twenty failures drawn against a fixed taxonomy of ten categories — code-mixing, transliteration variation, named entities, amounts, dates, ambiguity, near-duplicate schemes across schemes, the cross-lingual gap, long-tail schemes, and short queries — with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 xml:space="preserve">Each case is recorded as a structured record — query, gold passages, the ranked output of each system under comparison, the generated answer, a diagnosis, and the component judged to have failed — and is committed to the repository as </w:t>
      </w:r>
      <w:r>
        <w:rPr>
          <w:rFonts w:ascii="Consolas" w:hAnsi="Consolas"/>
          <w:sz w:val="17"/>
        </w:rPr>
        <w:t>evals/errors.jsonl</w:t>
      </w:r>
      <w:r>
        <w:rPr>
          <w:rFonts w:ascii="Times New Roman" w:hAnsi="Times New Roman"/>
          <w:sz w:val="20"/>
        </w:rPr>
        <w:t xml:space="preserve"> alongside the rendered report. The diagnosis field names one of retrieval, generation, answerability or data, so that the distribution of failures across components is itself a result rather than an impression.</w:t>
      </w:r>
    </w:p>
    <w:p>
      <w:pPr>
        <w:spacing w:before="200" w:after="80"/>
        <w:jc w:val="left"/>
      </w:pPr>
      <w:r>
        <w:rPr>
          <w:rFonts w:ascii="Times New Roman" w:hAnsi="Times New Roman"/>
          <w:i/>
          <w:sz w:val="20"/>
        </w:rPr>
        <w:t>B. What the cases showed</w:t>
      </w:r>
    </w:p>
    <w:p>
      <w:pPr>
        <w:spacing w:after="0"/>
        <w:ind w:firstLine="288"/>
        <w:jc w:val="both"/>
      </w:pPr>
      <w:r>
        <w:rPr>
          <w:rFonts w:ascii="Times New Roman" w:hAnsi="Times New Roman"/>
          <w:sz w:val="20"/>
        </w:rPr>
        <w:t xml:space="preserve">The dominant failure mode is not subtle. In the majority of the twenty cases the gold passage was never retrieved at all, and the top-ranked hit was the correct scheme in the </w:t>
      </w:r>
      <w:r>
        <w:rPr>
          <w:rFonts w:ascii="Times New Roman" w:hAnsi="Times New Roman"/>
          <w:i/>
          <w:sz w:val="20"/>
        </w:rPr>
        <w:t>wrong language</w:t>
      </w:r>
      <w:r>
        <w:rPr>
          <w:rFonts w:ascii="Times New Roman" w:hAnsi="Times New Roman"/>
          <w:sz w:val="20"/>
        </w:rPr>
        <w:t>: a Hinglish query about the National Health Mission's untied grants returns the English article when the gold passage is the Hindi one, and an English query about Sukanya Samriddhi eligibility does the same in reverse. The system was not confused about the topic. It was confused about nothing at all — it had simply never been able to see the passage that would have answered the question.</w:t>
      </w:r>
    </w:p>
    <w:p>
      <w:pPr>
        <w:spacing w:after="0"/>
        <w:ind w:firstLine="288"/>
        <w:jc w:val="both"/>
      </w:pPr>
      <w:r>
        <w:rPr>
          <w:rFonts w:ascii="Times New Roman" w:hAnsi="Times New Roman"/>
          <w:sz w:val="20"/>
        </w:rPr>
        <w:t>This concentrates the error in one component. Categories that appear linguistically distinct in the taxonomy — code-mixing, transliteration variation, the cross-lingual gap — turn out to share a single mechanism once the retrieved lists are read side by side, and that mechanism is a retriever that cannot cross a script boundary. Categories that are genuinely about generation, such as amounts and dates, are comparatively rare in this sample, which is itself informative: on this corpus the generator is not the bottleneck.</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One case (E02 in the committed report)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that beat either endpoint by more than 0.001,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probe set it takes cross-lingual Recall@5 from 0.022 to 0.153 (paired randomization test, p = 0.0001) and code-mixed Recall@5 from 0.028 to 0.173 (p = 0.0002), against a dense-only baseline of 0.125 and 0.132 respectively. The comparison against dense alone is the one that decides whether hybrid retrieval earns its place at all, and script-aware fusion beats it overall by 0.050 (p = 0.0086).</w:t>
      </w:r>
    </w:p>
    <w:p>
      <w:pPr>
        <w:spacing w:after="0"/>
        <w:ind w:firstLine="288"/>
        <w:jc w:val="both"/>
      </w:pPr>
      <w:r>
        <w:rPr>
          <w:rFonts w:ascii="Times New Roman" w:hAnsi="Times New Roman"/>
          <w:sz w:val="20"/>
        </w:rPr>
        <w:t>This also revises a negative result reported earlier in the same work. The α sweep had found no interior weighting that beat both endpoints, and we had recorded the hypothesis that hybrid retrieval outperforms its components as unsupported. That verdict was correct about the method it tested and wrong about the hypothesis: hybrid retrieval does beat its own components on this corpus, but only once fusion stops penalising passages for being written in the language the query was not.</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Script-aware fusion is a trade and not a free win. Monolingual Recall@5 falls from 0.712 to 0.668, a regression of 0.044 at p = 0.032. Removing the lexical double-vote costs precision exactly where it was legitimate — where both retrievers could see the same passage, agreement between them really was evidence, and we are now discarding some of it.</w:t>
      </w:r>
    </w:p>
    <w:p>
      <w:pPr>
        <w:spacing w:after="0"/>
        <w:ind w:firstLine="288"/>
        <w:jc w:val="both"/>
      </w:pPr>
      <w:r>
        <w:rPr>
          <w:rFonts w:ascii="Times New Roman" w:hAnsi="Times New Roman"/>
          <w:sz w:val="20"/>
        </w:rPr>
        <w:t>On this corpus the trade is clearly favourable, because monolingual retrieval was already strong and cross-lingual retrieval was near zero, and a method that moves a slice from 0.022 to 0.153 at the cost of 0.044 elsewhere is buying a great deal for very little. On a deployment whose queries are overwhelmingly monolingual the same trade would be a poor one. We report the regression rather than the aggregate because the aggregate hides it: overall Recall@5 moves from 0.483 to 0.500, a difference indistinguishable from noise (p = 0.32), and a paper reporting only that number would be concealing both the gain and the cost.</w:t>
      </w:r>
    </w:p>
    <w:p>
      <w:pPr>
        <w:spacing w:before="200" w:after="80"/>
        <w:jc w:val="left"/>
      </w:pPr>
      <w:r>
        <w:rPr>
          <w:rFonts w:ascii="Times New Roman" w:hAnsi="Times New Roman"/>
          <w:i/>
          <w:sz w:val="20"/>
        </w:rPr>
        <w:t>D.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a single primary annotator.</w:t>
      </w:r>
      <w:r>
        <w:rPr>
          <w:rFonts w:ascii="Times New Roman" w:hAnsi="Times New Roman"/>
          <w:sz w:val="20"/>
        </w:rPr>
        <w:t xml:space="preserve"> The evaluation set is 400 items, of which 320 are answerable, spread over six query-language-by-passage-language cells. Cells therefore hold 45 to 70 items each, and per-cell differences of a few points are not resolvable. All items are authored by a single primary annotator working from model-generated candidates; a stratified 15% second pass re-labels the answerability decision blind, and Cohen's κ is reported, with κ ≥ 0.70 treated as a gate on reporting any answerability result. Inter-annotator agreement on a 15% sample is a weaker control than independent double annotation throughout, which was not feasible here.</w:t>
      </w:r>
    </w:p>
    <w:p>
      <w:pPr>
        <w:spacing w:after="0"/>
        <w:ind w:firstLine="288"/>
        <w:jc w:val="both"/>
      </w:pPr>
      <w:r>
        <w:rPr>
          <w:rFonts w:ascii="Times New Roman" w:hAnsi="Times New Roman"/>
          <w:b/>
          <w:sz w:val="20"/>
        </w:rPr>
        <w:t>Preliminary numbers.</w:t>
      </w:r>
      <w:r>
        <w:rPr>
          <w:rFonts w:ascii="Times New Roman" w:hAnsi="Times New Roman"/>
          <w:sz w:val="20"/>
        </w:rPr>
        <w:t xml:space="preserve"> Every retrieval figure in this paper is measured on synthetic probes rather than on the verified gold set, and is marked </w:t>
      </w:r>
      <w:r>
        <w:rPr>
          <w:rFonts w:ascii="Consolas" w:hAnsi="Consolas"/>
          <w:sz w:val="17"/>
        </w:rPr>
        <w:t>[PROBE]</w:t>
      </w:r>
      <w:r>
        <w:rPr>
          <w:rFonts w:ascii="Times New Roman" w:hAnsi="Times New Roman"/>
          <w:sz w:val="20"/>
        </w:rPr>
        <w:t xml:space="preserve"> throughout. The probes are constructed from real passages and real article titles, and the mechanism they expose is structural rather than statistical, so we do not expect the direction of the fusion result to change. The magnitudes may. Any figure still marked </w:t>
      </w:r>
      <w:r>
        <w:rPr>
          <w:rFonts w:ascii="Consolas" w:hAnsi="Consolas"/>
          <w:sz w:val="17"/>
        </w:rPr>
        <w:t>[PROBE]</w:t>
      </w:r>
      <w:r>
        <w:rPr>
          <w:rFonts w:ascii="Times New Roman" w:hAnsi="Times New Roman"/>
          <w:sz w:val="20"/>
        </w:rPr>
        <w:t xml:space="preserve"> at submission is labelled as such in the text, and no such figure is reported as a gold-set result.</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one encoder pair.</w:t>
      </w:r>
      <w:r>
        <w:rPr>
          <w:rFonts w:ascii="Times New Roman" w:hAnsi="Times New Roman"/>
          <w:sz w:val="20"/>
        </w:rPr>
        <w:t xml:space="preserve"> Script-aware fusion is evaluated over BM25 and multilingual-e5-base. As §VI-F reports, LaBSE used alone outperforms that fused system on the code-mixed slice by a wide margin (0.332 against 0.173), which means that on code-mixed queries a better encoder choice beats correcting the fusion over a weaker one. The correction is orthogonal to encoder choice and could be applied over LaBSE; we have not tested that combination, and until we do, our results establish that script-aware fusion repairs a specific defect in rank fusion, not that the resulting system is the strongest available configuration.</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our negative result about it is bounded by our own taxonomy.</w:t>
      </w:r>
      <w:r>
        <w:rPr>
          <w:rFonts w:ascii="Times New Roman" w:hAnsi="Times New Roman"/>
          <w:sz w:val="20"/>
        </w:rPr>
        <w:t xml:space="preserve"> We show it carries no information here, but the reason is that 55 of our 80 unanswerable items are written about schemes present in the corpus. A benchmark whose unanswerable questions were predominantly out-of-scope would find the same threshold useful, and the 0.688 recall we measure on that one class shows why. The claim is therefore conditional: retrieval-score thresholds fail on unanswerable questions about </w:t>
      </w:r>
      <w:r>
        <w:rPr>
          <w:rFonts w:ascii="Times New Roman" w:hAnsi="Times New Roman"/>
          <w:i/>
          <w:sz w:val="20"/>
        </w:rPr>
        <w:t>present</w:t>
      </w:r>
      <w:r>
        <w:rPr>
          <w:rFonts w:ascii="Times New Roman" w:hAnsi="Times New Roman"/>
          <w:sz w:val="20"/>
        </w:rPr>
        <w:t xml:space="preserve"> topics, which we argue is the deployment-relevant case for a system fielding questions about schemes it documents, but we have not shown they fail in general. We evaluate a natural-language-inference signal alongside, which addresses exactly the classes the threshold cannot see.</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400-item evaluation set annotated across six query-language-by-passage-language cells and a taxonomy of four unanswerable question types.</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cross-lingual Recall@5 improves roughly sevenfold and code-mixed roughly sixfold on our probe set, at a measured cost of 0.044 monolingual Recall@5, with no training and one additional lookup per candidate.</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 xml:space="preserve">Immediate future work is to complete human verification of the evaluation set and replace every </w:t>
      </w:r>
      <w:r>
        <w:rPr>
          <w:rFonts w:ascii="Consolas" w:hAnsi="Consolas"/>
          <w:sz w:val="17"/>
        </w:rPr>
        <w:t>[PROBE]</w:t>
      </w:r>
      <w:r>
        <w:rPr>
          <w:rFonts w:ascii="Times New Roman" w:hAnsi="Times New Roman"/>
          <w:sz w:val="20"/>
        </w:rPr>
        <w:t xml:space="preserve"> figure with a gold-set measurement;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