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and only </w:t>
      </w:r>
      <w:r>
        <w:rPr>
          <w:rFonts w:ascii="Consolas" w:hAnsi="Consolas"/>
          <w:sz w:val="17"/>
        </w:rPr>
        <w:t>char_span</w:t>
      </w:r>
      <w:r>
        <w:rPr>
          <w:rFonts w:ascii="Times New Roman" w:hAnsi="Times New Roman"/>
          <w:sz w:val="20"/>
        </w:rPr>
        <w:t xml:space="preserve"> (582 passages) and </w:t>
      </w:r>
      <w:r>
        <w:rPr>
          <w:rFonts w:ascii="Consolas" w:hAnsi="Consolas"/>
          <w:sz w:val="17"/>
        </w:rPr>
        <w:t>text_raw</w:t>
      </w:r>
      <w:r>
        <w:rPr>
          <w:rFonts w:ascii="Times New Roman" w:hAnsi="Times New Roman"/>
          <w:sz w:val="20"/>
        </w:rPr>
        <w:t xml:space="preserve"> (586) changed, so no index, cache, gold reference or published number in this paper is affected. Span fidelity rises from 25.4% to 97.6% of the passages that carry a span,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23 passages the aligner could 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 What remains unfixed is the third defect: the 29 oversized passages, and the 16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