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(n = 320):</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70</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0.217</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60</w:t>
            </w:r>
          </w:p>
        </w:tc>
        <w:tc>
          <w:tcPr>
            <w:tcW w:type="dxa" w:w="2088"/>
          </w:tcPr>
          <w:p>
            <w:pPr>
              <w:spacing w:after="0"/>
            </w:pPr>
            <w:r>
              <w:rPr>
                <w:sz w:val="16"/>
              </w:rPr>
            </w:r>
            <w:r>
              <w:rPr>
                <w:rFonts w:ascii="Times New Roman" w:hAnsi="Times New Roman"/>
                <w:sz w:val="16"/>
              </w:rPr>
              <w:t>0.084</w:t>
            </w:r>
          </w:p>
        </w:tc>
        <w:tc>
          <w:tcPr>
            <w:tcW w:type="dxa" w:w="2088"/>
          </w:tcPr>
          <w:p>
            <w:pPr>
              <w:spacing w:after="0"/>
            </w:pPr>
            <w:r>
              <w:rPr>
                <w:sz w:val="16"/>
              </w:rPr>
            </w:r>
            <w:r>
              <w:rPr>
                <w:rFonts w:ascii="Times New Roman" w:hAnsi="Times New Roman"/>
                <w:sz w:val="16"/>
              </w:rPr>
              <w:t>0.340</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55</w:t>
            </w:r>
          </w:p>
        </w:tc>
        <w:tc>
          <w:tcPr>
            <w:tcW w:type="dxa" w:w="2088"/>
          </w:tcPr>
          <w:p>
            <w:pPr>
              <w:spacing w:after="0"/>
            </w:pPr>
            <w:r>
              <w:rPr>
                <w:sz w:val="16"/>
              </w:rPr>
            </w:r>
            <w:r>
              <w:rPr>
                <w:rFonts w:ascii="Times New Roman" w:hAnsi="Times New Roman"/>
                <w:sz w:val="16"/>
              </w:rPr>
              <w:t>0.009</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0.091</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0.024</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0.023</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at zero because the two scripts share no tokens. That is the script boundary rather than evidence of annotation hygiene, and pooling them would report a median of 0.013 that says nothing about leakage. The figure that bears on the question is the same-script one: </w:t>
      </w:r>
      <w:r>
        <w:rPr>
          <w:rFonts w:ascii="Times New Roman" w:hAnsi="Times New Roman"/>
          <w:b/>
          <w:sz w:val="20"/>
        </w:rPr>
        <w:t>median 0.066, max 0.340</w:t>
      </w:r>
      <w:r>
        <w:rPr>
          <w:rFonts w:ascii="Times New Roman" w:hAnsi="Times New Roman"/>
          <w:sz w:val="20"/>
        </w:rPr>
        <w:t xml:space="preserve"> over 185 items.</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That design does not work here: the low tertile comes out 54 of 61 </w:t>
      </w:r>
      <w:r>
        <w:rPr>
          <w:rFonts w:ascii="Consolas" w:hAnsi="Consolas"/>
          <w:sz w:val="17"/>
        </w:rPr>
        <w:t>hinglish→en</w:t>
      </w:r>
      <w:r>
        <w:rPr>
          <w:rFonts w:ascii="Times New Roman" w:hAnsi="Times New Roman"/>
          <w:sz w:val="20"/>
        </w:rPr>
        <w:t>, because Romanized Hindi function words match nothing in an English passage, so the split is a proxy for the language pair and comparing across it measures Hinglish against monolingual. Within each same-script cell, splitting at the median overlap:</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+0.057</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0.000</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+0.111</w:t>
            </w:r>
          </w:p>
        </w:tc>
        <w:tc>
          <w:tcPr>
            <w:tcW w:type="dxa" w:w="2610"/>
          </w:tcPr>
          <w:p>
            <w:pPr>
              <w:spacing w:after="0"/>
            </w:pPr>
            <w:r>
              <w:rPr>
                <w:sz w:val="16"/>
              </w:rPr>
            </w:r>
            <w:r>
              <w:rPr>
                <w:rFonts w:ascii="Times New Roman" w:hAnsi="Times New Roman"/>
                <w:b/>
                <w:sz w:val="16"/>
              </w:rPr>
              <w:t>+0.429</w:t>
            </w:r>
            <w:r>
              <w:rPr>
                <w:rFonts w:ascii="Times New Roman" w:hAnsi="Times New Roman"/>
                <w:sz w:val="16"/>
              </w:rPr>
              <w:t xml:space="preserve"> *</w:t>
            </w:r>
          </w:p>
        </w:tc>
        <w:tc>
          <w:tcPr>
            <w:tcW w:type="dxa" w:w="2610"/>
          </w:tcPr>
          <w:p>
            <w:pPr>
              <w:spacing w:after="0"/>
            </w:pPr>
            <w:r>
              <w:rPr>
                <w:sz w:val="16"/>
              </w:rPr>
            </w:r>
            <w:r>
              <w:rPr>
                <w:rFonts w:ascii="Times New Roman" w:hAnsi="Times New Roman"/>
                <w:sz w:val="16"/>
              </w:rPr>
              <w:t>+0.317</w:t>
            </w:r>
          </w:p>
        </w:tc>
      </w:tr>
    </w:tbl>
    <w:p>
      <w:pPr>
        <w:spacing w:after="40"/>
      </w:pPr>
    </w:p>
    <w:p>
      <w:pPr>
        <w:spacing w:after="0"/>
        <w:ind w:firstLine="288"/>
        <w:jc w:val="both"/>
      </w:pPr>
      <w:r>
        <w:rPr>
          <w:rFonts w:ascii="Consolas" w:hAnsi="Consolas"/>
          <w:sz w:val="17"/>
        </w:rPr>
        <w:t>hi→hi</w:t>
      </w:r>
      <w:r>
        <w:rPr>
          <w:rFonts w:ascii="Times New Roman" w:hAnsi="Times New Roman"/>
          <w:sz w:val="20"/>
        </w:rPr>
        <w:t xml:space="preserve"> shows no effect. </w:t>
      </w:r>
      <w:r>
        <w:rPr>
          <w:rFonts w:ascii="Consolas" w:hAnsi="Consolas"/>
          <w:sz w:val="17"/>
        </w:rPr>
        <w:t>en→en</w:t>
      </w:r>
      <w:r>
        <w:rPr>
          <w:rFonts w:ascii="Times New Roman" w:hAnsi="Times New Roman"/>
          <w:sz w:val="20"/>
        </w:rPr>
        <w:t xml:space="preserve"> shows a small one, and both halves sit at 0.94–1.00, where there is little room to separate anything. </w:t>
      </w:r>
      <w:r>
        <w:rPr>
          <w:rFonts w:ascii="Consolas" w:hAnsi="Consolas"/>
          <w:sz w:val="17"/>
        </w:rPr>
        <w:t>hinglish→en</w:t>
      </w:r>
      <w:r>
        <w:rPr>
          <w:rFonts w:ascii="Times New Roman" w:hAnsi="Times New Roman"/>
          <w:sz w:val="20"/>
        </w:rPr>
        <w:t xml:space="preserve"> shows a large one — but its entire overlap range is 0.000 to 0.044, so the "high-overlap" half means a handful of shared tokens, typically the English name of the scheme. We read that as lexical retrieval needing </w:t>
      </w:r>
      <w:r>
        <w:rPr>
          <w:rFonts w:ascii="Times New Roman" w:hAnsi="Times New Roman"/>
          <w:i/>
          <w:sz w:val="20"/>
        </w:rPr>
        <w:t>some</w:t>
      </w:r>
      <w:r>
        <w:rPr>
          <w:rFonts w:ascii="Times New Roman" w:hAnsi="Times New Roman"/>
          <w:sz w:val="20"/>
        </w:rPr>
        <w:t xml:space="preserve"> surface anchor rather than as questions copying their passage: BM25 reaches 0.679 when a Romanized query carries the English scheme name and 0.148 when it does not, which is the paper's own thesis about surface matching rather than a defect in the annotation.</w:t>
      </w:r>
    </w:p>
    <w:p>
      <w:pPr>
        <w:spacing w:after="0"/>
        <w:ind w:firstLine="288"/>
        <w:jc w:val="both"/>
      </w:pPr>
      <w:r>
        <w:rPr>
          <w:rFonts w:ascii="Times New Roman" w:hAnsi="Times New Roman"/>
          <w:sz w:val="20"/>
        </w:rPr>
        <w:t xml:space="preserve">The honest summary is that leakage is not detectable in the two monolingual cells, and that the code-mixed cell's lexical performance is driven by incidental English tokens in a way no paraphrase instruction can remove.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A.1 A first look at the same experiments on the gold set</w:t>
      </w:r>
    </w:p>
    <w:p>
      <w:pPr>
        <w:spacing w:after="0"/>
        <w:ind w:firstLine="288"/>
        <w:jc w:val="both"/>
      </w:pPr>
      <w:r>
        <w:rPr>
          <w:rFonts w:ascii="Times New Roman" w:hAnsi="Times New Roman"/>
          <w:sz w:val="20"/>
        </w:rPr>
        <w:t xml:space="preserve">The retrieval sections below are probe-based. We have since run the identical evaluation over the 320 answerable gold items, and report the comparison here because two of the probe-based conclusions do not survive it. These items are </w:t>
      </w:r>
      <w:r>
        <w:rPr>
          <w:rFonts w:ascii="Times New Roman" w:hAnsi="Times New Roman"/>
          <w:b/>
          <w:sz w:val="20"/>
        </w:rPr>
        <w:t>not verified either</w:t>
      </w:r>
      <w:r>
        <w:rPr>
          <w:rFonts w:ascii="Times New Roman" w:hAnsi="Times New Roman"/>
          <w:sz w:val="20"/>
        </w:rPr>
        <w:t>, so this is a second preliminary source rather than a correction; the headline sections keep their probe numbers until verification settles which to report.</w:t>
      </w:r>
    </w:p>
    <w:p>
      <w:pPr>
        <w:spacing w:after="0"/>
        <w:ind w:firstLine="288"/>
        <w:jc w:val="both"/>
      </w:pPr>
      <w:r>
        <w:rPr>
          <w:rFonts w:ascii="Times New Roman" w:hAnsi="Times New Roman"/>
          <w:b/>
          <w:sz w:val="20"/>
        </w:rPr>
        <w:t>What the gold set confirms, more strongly than the probes did.</w:t>
      </w:r>
      <w:r>
        <w:rPr>
          <w:rFonts w:ascii="Times New Roman" w:hAnsi="Times New Roman"/>
          <w:sz w:val="20"/>
        </w:rPr>
        <w:t xml:space="preserve"> Lexical retrieval still collapses across the language boundary: BM25 reaches 0.977 monolingual and 0.056 cross-lingual, a ratio worse than on the probes. MuRIL still scores exactly 0.000 cross-lingually. And the fusion penalty is still there and still visible in the same shape — plain RRF reaches 0.111 on the cross-lingual slice while the dense retriever it contains reaches 0.367.</w:t>
      </w:r>
    </w:p>
    <w:p>
      <w:pPr>
        <w:spacing w:after="0"/>
        <w:ind w:firstLine="288"/>
        <w:jc w:val="both"/>
      </w:pPr>
      <w:r>
        <w:rPr>
          <w:rFonts w:ascii="Times New Roman" w:hAnsi="Times New Roman"/>
          <w:b/>
          <w:sz w:val="20"/>
        </w:rPr>
        <w:t>What it contradicts.</w:t>
      </w:r>
      <w:r>
        <w:rPr>
          <w:rFonts w:ascii="Times New Roman" w:hAnsi="Times New Roman"/>
          <w:sz w:val="20"/>
        </w:rPr>
        <w:t xml:space="preserve"> Two things.</w:t>
      </w:r>
    </w:p>
    <w:p>
      <w:pPr>
        <w:spacing w:after="0"/>
        <w:ind w:firstLine="288"/>
        <w:jc w:val="both"/>
      </w:pPr>
      <w:r>
        <w:rPr>
          <w:rFonts w:ascii="Times New Roman" w:hAnsi="Times New Roman"/>
          <w:sz w:val="20"/>
        </w:rPr>
        <w:t>First, §VI-F's LaBSE result reverses. On the probes LaBSE led the code-mixed slice at 0.332; on the gold set it scores 0.050 there, and lexical retrieval leads at 0.230. The gold code-mixed questions are Romanized Hindi carrying English scheme names, which BM25 can match directly against the English passages, and the probe set's code-mixed shape evidently did not reproduce that. §VI-F should be read as a claim about the probe set until verification decides.</w:t>
      </w:r>
    </w:p>
    <w:p>
      <w:pPr>
        <w:spacing w:after="0"/>
        <w:ind w:firstLine="288"/>
        <w:jc w:val="both"/>
      </w:pPr>
      <w:r>
        <w:rPr>
          <w:rFonts w:ascii="Times New Roman" w:hAnsi="Times New Roman"/>
          <w:sz w:val="20"/>
        </w:rPr>
        <w:t>Second, the α sweep reverses, and with it the H2 verdict. On the probes no interior weighting beat the endpoints by more than 0.001. On the gold set α = 0.4 reaches 0.547 against 0.484 for pure lexical and 0.416 for pure dense — a margin of 0.062, comfortably outside the noise band. Weighted hybrid fusion does help on these questions, which is the opposite of what §VI-E reports from the probes.</w:t>
      </w:r>
    </w:p>
    <w:p>
      <w:pPr>
        <w:spacing w:after="0"/>
        <w:ind w:firstLine="288"/>
        <w:jc w:val="both"/>
      </w:pPr>
      <w:r>
        <w:rPr>
          <w:rFonts w:ascii="Times New Roman" w:hAnsi="Times New Roman"/>
          <w:sz w:val="20"/>
        </w:rPr>
        <w:t xml:space="preserve">That divergence is itself evidence for the caution in §VI-A. A probe set built by lifting phrasing from target passages flatters lexical retrieval and compresses the differences between fusion settings; the gold questions are written to be answered rather than to be matched, and they separate the methods that the probes could not. The full table is committed as </w:t>
      </w:r>
      <w:r>
        <w:rPr>
          <w:rFonts w:ascii="Consolas" w:hAnsi="Consolas"/>
          <w:sz w:val="17"/>
        </w:rPr>
        <w:t>evals/report-retrieval-goldset.txt</w:t>
      </w:r>
      <w:r>
        <w:rPr>
          <w:rFonts w:ascii="Times New Roman" w:hAnsi="Times New Roman"/>
          <w:sz w:val="20"/>
        </w:rPr>
        <w:t>.</w:t>
      </w:r>
    </w:p>
    <w:p>
      <w:pPr>
        <w:spacing w:after="0"/>
        <w:ind w:firstLine="288"/>
        <w:jc w:val="both"/>
      </w:pPr>
      <w:r>
        <w:rPr>
          <w:rFonts w:ascii="Times New Roman" w:hAnsi="Times New Roman"/>
          <w:b/>
          <w:sz w:val="20"/>
        </w:rPr>
        <w:t>Third, and most consequentially, the central result is larger on the gold set and its cost disappears.</w:t>
      </w:r>
      <w:r>
        <w:rPr>
          <w:rFonts w:ascii="Times New Roman" w:hAnsi="Times New Roman"/>
          <w:sz w:val="20"/>
        </w:rPr>
        <w:t xml:space="preserve"> Script-aware fusion had never been measured on these items at all — it was absent from the retrieval harness and its figures came from a one-off script over the probes.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Slice</w:t>
            </w:r>
          </w:p>
        </w:tc>
        <w:tc>
          <w:tcPr>
            <w:tcW w:type="dxa" w:w="1740"/>
          </w:tcPr>
          <w:p>
            <w:pPr>
              <w:spacing w:after="0"/>
            </w:pPr>
            <w:r/>
            <w:r>
              <w:rPr>
                <w:rFonts w:ascii="Times New Roman" w:hAnsi="Times New Roman"/>
                <w:b/>
                <w:sz w:val="16"/>
              </w:rPr>
              <w:t>plain RRF</w:t>
            </w:r>
          </w:p>
        </w:tc>
        <w:tc>
          <w:tcPr>
            <w:tcW w:type="dxa" w:w="1740"/>
          </w:tcPr>
          <w:p>
            <w:pPr>
              <w:spacing w:after="0"/>
            </w:pPr>
            <w:r/>
            <w:r>
              <w:rPr>
                <w:rFonts w:ascii="Times New Roman" w:hAnsi="Times New Roman"/>
                <w:b/>
                <w:sz w:val="16"/>
              </w:rPr>
              <w:t>script-aware</w:t>
            </w:r>
          </w:p>
        </w:tc>
        <w:tc>
          <w:tcPr>
            <w:tcW w:type="dxa" w:w="1740"/>
          </w:tcPr>
          <w:p>
            <w:pPr>
              <w:spacing w:after="0"/>
            </w:pPr>
            <w:r/>
            <w:r>
              <w:rPr>
                <w:rFonts w:ascii="Times New Roman" w:hAnsi="Times New Roman"/>
                <w:b/>
                <w:sz w:val="16"/>
              </w:rPr>
              <w:t>dense alone</w:t>
            </w:r>
          </w:p>
        </w:tc>
        <w:tc>
          <w:tcPr>
            <w:tcW w:type="dxa" w:w="1740"/>
          </w:tcPr>
          <w:p>
            <w:pPr>
              <w:spacing w:after="0"/>
            </w:pPr>
            <w:r/>
            <w:r>
              <w:rPr>
                <w:rFonts w:ascii="Times New Roman" w:hAnsi="Times New Roman"/>
                <w:b/>
                <w:sz w:val="16"/>
              </w:rPr>
              <w:t>SA − plain</w:t>
            </w:r>
          </w:p>
        </w:tc>
        <w:tc>
          <w:tcPr>
            <w:tcW w:type="dxa" w:w="1740"/>
          </w:tcPr>
          <w:p>
            <w:pPr>
              <w:spacing w:after="0"/>
            </w:pPr>
            <w:r/>
            <w:r>
              <w:rPr>
                <w:rFonts w:ascii="Times New Roman" w:hAnsi="Times New Roman"/>
                <w:b/>
                <w:sz w:val="16"/>
              </w:rPr>
              <w:t>SA − dense</w:t>
            </w:r>
          </w:p>
        </w:tc>
      </w:tr>
      <w:tr>
        <w:tc>
          <w:tcPr>
            <w:tcW w:type="dxa" w:w="1740"/>
          </w:tcPr>
          <w:p>
            <w:pPr>
              <w:spacing w:after="0"/>
            </w:pPr>
            <w:r>
              <w:rPr>
                <w:sz w:val="16"/>
              </w:rPr>
            </w:r>
            <w:r>
              <w:rPr>
                <w:rFonts w:ascii="Times New Roman" w:hAnsi="Times New Roman"/>
                <w:sz w:val="16"/>
              </w:rPr>
              <w:t>cross-lingual (n=90)</w:t>
            </w:r>
          </w:p>
        </w:tc>
        <w:tc>
          <w:tcPr>
            <w:tcW w:type="dxa" w:w="1740"/>
          </w:tcPr>
          <w:p>
            <w:pPr>
              <w:spacing w:after="0"/>
            </w:pPr>
            <w:r>
              <w:rPr>
                <w:sz w:val="16"/>
              </w:rPr>
            </w:r>
            <w:r>
              <w:rPr>
                <w:rFonts w:ascii="Times New Roman" w:hAnsi="Times New Roman"/>
                <w:sz w:val="16"/>
              </w:rPr>
              <w:t>0.111</w:t>
            </w:r>
          </w:p>
        </w:tc>
        <w:tc>
          <w:tcPr>
            <w:tcW w:type="dxa" w:w="1740"/>
          </w:tcPr>
          <w:p>
            <w:pPr>
              <w:spacing w:after="0"/>
            </w:pPr>
            <w:r>
              <w:rPr>
                <w:sz w:val="16"/>
              </w:rPr>
            </w:r>
            <w:r>
              <w:rPr>
                <w:rFonts w:ascii="Times New Roman" w:hAnsi="Times New Roman"/>
                <w:b/>
                <w:sz w:val="16"/>
              </w:rPr>
              <w:t>0.500</w:t>
            </w:r>
          </w:p>
        </w:tc>
        <w:tc>
          <w:tcPr>
            <w:tcW w:type="dxa" w:w="1740"/>
          </w:tcPr>
          <w:p>
            <w:pPr>
              <w:spacing w:after="0"/>
            </w:pPr>
            <w:r>
              <w:rPr>
                <w:sz w:val="16"/>
              </w:rPr>
            </w:r>
            <w:r>
              <w:rPr>
                <w:rFonts w:ascii="Times New Roman" w:hAnsi="Times New Roman"/>
                <w:sz w:val="16"/>
              </w:rPr>
              <w:t>0.367</w:t>
            </w:r>
          </w:p>
        </w:tc>
        <w:tc>
          <w:tcPr>
            <w:tcW w:type="dxa" w:w="1740"/>
          </w:tcPr>
          <w:p>
            <w:pPr>
              <w:spacing w:after="0"/>
            </w:pPr>
            <w:r>
              <w:rPr>
                <w:sz w:val="16"/>
              </w:rPr>
            </w:r>
            <w:r>
              <w:rPr>
                <w:rFonts w:ascii="Times New Roman" w:hAnsi="Times New Roman"/>
                <w:b/>
                <w:sz w:val="16"/>
              </w:rPr>
              <w:t>+0.389</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+0.133</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code-mixed (n=100)</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0.230</w:t>
            </w:r>
          </w:p>
        </w:tc>
        <w:tc>
          <w:tcPr>
            <w:tcW w:type="dxa" w:w="1740"/>
          </w:tcPr>
          <w:p>
            <w:pPr>
              <w:spacing w:after="0"/>
            </w:pPr>
            <w:r>
              <w:rPr>
                <w:sz w:val="16"/>
              </w:rPr>
            </w:r>
            <w:r>
              <w:rPr>
                <w:rFonts w:ascii="Times New Roman" w:hAnsi="Times New Roman"/>
                <w:sz w:val="16"/>
              </w:rPr>
              <w:t>0.090</w:t>
            </w:r>
          </w:p>
        </w:tc>
        <w:tc>
          <w:tcPr>
            <w:tcW w:type="dxa" w:w="1740"/>
          </w:tcPr>
          <w:p>
            <w:pPr>
              <w:spacing w:after="0"/>
            </w:pPr>
            <w:r>
              <w:rPr>
                <w:sz w:val="16"/>
              </w:rPr>
            </w:r>
            <w:r>
              <w:rPr>
                <w:rFonts w:ascii="Times New Roman" w:hAnsi="Times New Roman"/>
                <w:sz w:val="16"/>
              </w:rPr>
              <w:t>+0.020</w:t>
            </w:r>
          </w:p>
        </w:tc>
        <w:tc>
          <w:tcPr>
            <w:tcW w:type="dxa" w:w="1740"/>
          </w:tcPr>
          <w:p>
            <w:pPr>
              <w:spacing w:after="0"/>
            </w:pPr>
            <w:r>
              <w:rPr>
                <w:sz w:val="16"/>
              </w:rPr>
            </w:r>
            <w:r>
              <w:rPr>
                <w:rFonts w:ascii="Times New Roman" w:hAnsi="Times New Roman"/>
                <w:b/>
                <w:sz w:val="16"/>
              </w:rPr>
              <w:t>+0.140</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monolingual (n=130)</w:t>
            </w:r>
          </w:p>
        </w:tc>
        <w:tc>
          <w:tcPr>
            <w:tcW w:type="dxa" w:w="1740"/>
          </w:tcPr>
          <w:p>
            <w:pPr>
              <w:spacing w:after="0"/>
            </w:pPr>
            <w:r>
              <w:rPr>
                <w:sz w:val="16"/>
              </w:rPr>
            </w:r>
            <w:r>
              <w:rPr>
                <w:rFonts w:ascii="Times New Roman" w:hAnsi="Times New Roman"/>
                <w:sz w:val="16"/>
              </w:rPr>
              <w:t>0.969</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−0.008</w:t>
            </w:r>
          </w:p>
        </w:tc>
        <w:tc>
          <w:tcPr>
            <w:tcW w:type="dxa" w:w="1740"/>
          </w:tcPr>
          <w:p>
            <w:pPr>
              <w:spacing w:after="0"/>
            </w:pPr>
            <w:r>
              <w:rPr>
                <w:sz w:val="16"/>
              </w:rPr>
            </w:r>
            <w:r>
              <w:rPr>
                <w:rFonts w:ascii="Times New Roman" w:hAnsi="Times New Roman"/>
                <w:sz w:val="16"/>
              </w:rPr>
              <w:t>+0.000</w:t>
            </w:r>
          </w:p>
        </w:tc>
      </w:tr>
      <w:tr>
        <w:tc>
          <w:tcPr>
            <w:tcW w:type="dxa" w:w="1740"/>
          </w:tcPr>
          <w:p>
            <w:pPr>
              <w:spacing w:after="0"/>
            </w:pPr>
            <w:r>
              <w:rPr>
                <w:sz w:val="16"/>
              </w:rPr>
            </w:r>
            <w:r>
              <w:rPr>
                <w:rFonts w:ascii="Times New Roman" w:hAnsi="Times New Roman"/>
                <w:b/>
                <w:sz w:val="16"/>
              </w:rPr>
              <w:t>all (n=320)</w:t>
            </w:r>
          </w:p>
        </w:tc>
        <w:tc>
          <w:tcPr>
            <w:tcW w:type="dxa" w:w="1740"/>
          </w:tcPr>
          <w:p>
            <w:pPr>
              <w:spacing w:after="0"/>
            </w:pPr>
            <w:r>
              <w:rPr>
                <w:sz w:val="16"/>
              </w:rPr>
            </w:r>
            <w:r>
              <w:rPr>
                <w:rFonts w:ascii="Times New Roman" w:hAnsi="Times New Roman"/>
                <w:sz w:val="16"/>
              </w:rPr>
              <w:t>0.491</w:t>
            </w:r>
          </w:p>
        </w:tc>
        <w:tc>
          <w:tcPr>
            <w:tcW w:type="dxa" w:w="1740"/>
          </w:tcPr>
          <w:p>
            <w:pPr>
              <w:spacing w:after="0"/>
            </w:pPr>
            <w:r>
              <w:rPr>
                <w:sz w:val="16"/>
              </w:rPr>
            </w:r>
            <w:r>
              <w:rPr>
                <w:rFonts w:ascii="Times New Roman" w:hAnsi="Times New Roman"/>
                <w:b/>
                <w:sz w:val="16"/>
              </w:rPr>
              <w:t>0.603</w:t>
            </w:r>
          </w:p>
        </w:tc>
        <w:tc>
          <w:tcPr>
            <w:tcW w:type="dxa" w:w="1740"/>
          </w:tcPr>
          <w:p>
            <w:pPr>
              <w:spacing w:after="0"/>
            </w:pPr>
            <w:r>
              <w:rPr>
                <w:sz w:val="16"/>
              </w:rPr>
            </w:r>
            <w:r>
              <w:rPr>
                <w:rFonts w:ascii="Times New Roman" w:hAnsi="Times New Roman"/>
                <w:sz w:val="16"/>
              </w:rPr>
              <w:t>0.522</w:t>
            </w:r>
          </w:p>
        </w:tc>
        <w:tc>
          <w:tcPr>
            <w:tcW w:type="dxa" w:w="1740"/>
          </w:tcPr>
          <w:p>
            <w:pPr>
              <w:spacing w:after="0"/>
            </w:pPr>
            <w:r>
              <w:rPr>
                <w:sz w:val="16"/>
              </w:rPr>
            </w:r>
            <w:r>
              <w:rPr>
                <w:rFonts w:ascii="Times New Roman" w:hAnsi="Times New Roman"/>
                <w:b/>
                <w:sz w:val="16"/>
              </w:rPr>
              <w:t>+0.113</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+0.081</w:t>
            </w:r>
            <w:r>
              <w:rPr>
                <w:rFonts w:ascii="Times New Roman" w:hAnsi="Times New Roman"/>
                <w:sz w:val="16"/>
              </w:rPr>
              <w:t xml:space="preserve"> *</w:t>
            </w:r>
          </w:p>
        </w:tc>
      </w:tr>
    </w:tbl>
    <w:p>
      <w:pPr>
        <w:spacing w:after="40"/>
      </w:pPr>
    </w:p>
    <w:p>
      <w:pPr>
        <w:spacing w:after="0"/>
        <w:ind w:firstLine="288"/>
        <w:jc w:val="both"/>
      </w:pPr>
      <w:r>
        <w:rPr>
          <w:rFonts w:ascii="Times New Roman" w:hAnsi="Times New Roman"/>
          <w:sz w:val="20"/>
        </w:rPr>
        <w:t>Figure 6 plots this beside Figure 3's probe version.</w:t>
      </w:r>
    </w:p>
    <w:p>
      <w:pPr>
        <w:spacing w:after="0"/>
        <w:ind w:firstLine="288"/>
        <w:jc w:val="both"/>
      </w:pPr>
      <w:r>
        <w:rPr>
          <w:rFonts w:ascii="Times New Roman" w:hAnsi="Times New Roman"/>
          <w:sz w:val="20"/>
        </w:rPr>
        <w:t>Three of the probe-based qualifications in §VI-E do not survive. The cross-lingual gain roughly triples, from +0.131 to +0.389 (p = 0.0001). The monolingual regression, which §VIII-C treats as the honest price of the method, falls from −0.044 (p = 0.032) to −0.008 (p = 1.00) — on these questions there is no measurable cost. And the overall gain, which the probes could not distinguish from noise at p = 0.32, becomes +0.113 at p = 0.0001, making script-aware fusion the best of the nine systems evaluated at 0.603 Recall@5.</w:t>
      </w:r>
    </w:p>
    <w:p>
      <w:pPr>
        <w:spacing w:after="0"/>
        <w:ind w:firstLine="288"/>
        <w:jc w:val="both"/>
      </w:pPr>
      <w:r>
        <w:rPr>
          <w:rFonts w:ascii="Times New Roman" w:hAnsi="Times New Roman"/>
          <w:sz w:val="20"/>
        </w:rPr>
        <w:t>The code-mixed gain moves the other way, from +0.145 to +0.020 (p = 0.72), for the same reason LaBSE's advantage evaporated: these questions carry English scheme names that the lexical retriever can already match, so plain RRF was not being penalised much to begin with. Against dense retrieval alone the gain remains significant on every cross-script slice.</w:t>
      </w:r>
    </w:p>
    <w:p>
      <w:pPr>
        <w:spacing w:after="0"/>
        <w:ind w:firstLine="288"/>
        <w:jc w:val="both"/>
      </w:pPr>
      <w:r>
        <w:rPr>
          <w:rFonts w:ascii="Times New Roman" w:hAnsi="Times New Roman"/>
          <w:sz w:val="20"/>
        </w:rPr>
        <w:t>We do not restate the headline numbers on this basis, because these items are unverified and the probe figures at least rest on ground truth that is correct by construction. But the direction is worth being plain about: on real questions the correction helps more and costs less than the probe set suggested.</w:t>
      </w:r>
    </w:p>
    <w:p>
      <w:pPr>
        <w:spacing w:before="200" w:after="80"/>
        <w:jc w:val="left"/>
      </w:pPr>
      <w:r>
        <w:rPr>
          <w:rFonts w:ascii="Times New Roman" w:hAnsi="Times New Roman"/>
          <w:i/>
          <w:sz w:val="20"/>
        </w:rPr>
        <w:t>A.2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That is testable by applying the same correction over different dense retrievers, and on the gold set it holds for all three we have embeddings for.</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0.522</w:t>
            </w:r>
          </w:p>
        </w:tc>
        <w:tc>
          <w:tcPr>
            <w:tcW w:type="dxa" w:w="2610"/>
          </w:tcPr>
          <w:p>
            <w:pPr>
              <w:spacing w:after="0"/>
            </w:pPr>
            <w:r>
              <w:rPr>
                <w:sz w:val="16"/>
              </w:rPr>
            </w:r>
            <w:r>
              <w:rPr>
                <w:rFonts w:ascii="Times New Roman" w:hAnsi="Times New Roman"/>
                <w:b/>
                <w:sz w:val="16"/>
              </w:rPr>
              <w:t>0.603</w:t>
            </w:r>
          </w:p>
        </w:tc>
        <w:tc>
          <w:tcPr>
            <w:tcW w:type="dxa" w:w="2610"/>
          </w:tcPr>
          <w:p>
            <w:pPr>
              <w:spacing w:after="0"/>
            </w:pPr>
            <w:r>
              <w:rPr>
                <w:sz w:val="16"/>
              </w:rPr>
            </w:r>
            <w:r>
              <w:rPr>
                <w:rFonts w:ascii="Times New Roman" w:hAnsi="Times New Roman"/>
                <w:sz w:val="16"/>
              </w:rPr>
              <w:t>+0.081</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0.416</w:t>
            </w:r>
          </w:p>
        </w:tc>
        <w:tc>
          <w:tcPr>
            <w:tcW w:type="dxa" w:w="2610"/>
          </w:tcPr>
          <w:p>
            <w:pPr>
              <w:spacing w:after="0"/>
            </w:pPr>
            <w:r>
              <w:rPr>
                <w:sz w:val="16"/>
              </w:rPr>
            </w:r>
            <w:r>
              <w:rPr>
                <w:rFonts w:ascii="Times New Roman" w:hAnsi="Times New Roman"/>
                <w:sz w:val="16"/>
              </w:rPr>
              <w:t>0.519</w:t>
            </w:r>
          </w:p>
        </w:tc>
        <w:tc>
          <w:tcPr>
            <w:tcW w:type="dxa" w:w="2610"/>
          </w:tcPr>
          <w:p>
            <w:pPr>
              <w:spacing w:after="0"/>
            </w:pPr>
            <w:r>
              <w:rPr>
                <w:sz w:val="16"/>
              </w:rPr>
            </w:r>
            <w:r>
              <w:rPr>
                <w:rFonts w:ascii="Times New Roman" w:hAnsi="Times New Roman"/>
                <w:sz w:val="16"/>
              </w:rPr>
              <w:t>+0.103</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0.466</w:t>
            </w:r>
          </w:p>
        </w:tc>
        <w:tc>
          <w:tcPr>
            <w:tcW w:type="dxa" w:w="2610"/>
          </w:tcPr>
          <w:p>
            <w:pPr>
              <w:spacing w:after="0"/>
            </w:pPr>
            <w:r>
              <w:rPr>
                <w:sz w:val="16"/>
              </w:rPr>
            </w:r>
            <w:r>
              <w:rPr>
                <w:rFonts w:ascii="Times New Roman" w:hAnsi="Times New Roman"/>
                <w:sz w:val="16"/>
              </w:rPr>
              <w:t>+0.072</w:t>
            </w:r>
          </w:p>
        </w:tc>
      </w:tr>
    </w:tbl>
    <w:p>
      <w:pPr>
        <w:spacing w:after="40"/>
      </w:pPr>
    </w:p>
    <w:p>
      <w:pPr>
        <w:spacing w:after="0"/>
        <w:ind w:firstLine="288"/>
        <w:jc w:val="both"/>
      </w:pPr>
      <w:r>
        <w:rPr>
          <w:rFonts w:ascii="Times New Roman" w:hAnsi="Times New Roman"/>
          <w:sz w:val="20"/>
        </w:rPr>
        <w:t xml:space="preserve">Fusion improves every one, by a similar margin, which is what a claim about the </w:t>
      </w:r>
      <w:r>
        <w:rPr>
          <w:rFonts w:ascii="Times New Roman" w:hAnsi="Times New Roman"/>
          <w:i/>
          <w:sz w:val="20"/>
        </w:rPr>
        <w:t>arithmetic</w:t>
      </w:r>
      <w:r>
        <w:rPr>
          <w:rFonts w:ascii="Times New Roman" w:hAnsi="Times New Roman"/>
          <w:sz w:val="20"/>
        </w:rPr>
        <w:t xml:space="preserve"> rather than the representation predicts.</w:t>
      </w:r>
    </w:p>
    <w:p>
      <w:pPr>
        <w:spacing w:after="0"/>
        <w:ind w:firstLine="288"/>
        <w:jc w:val="both"/>
      </w:pPr>
      <w:r>
        <w:rPr>
          <w:rFonts w:ascii="Times New Roman" w:hAnsi="Times New Roman"/>
          <w:sz w:val="20"/>
        </w:rPr>
        <w:t>It also settles a question §IX previously listed as open. Fusing over LaBSE does not beat fusing over e5-base: it is worse by 0.138 overall (p = 0.0001), and by 0.246 on the monolingual slice. MiniLM leads the cross-lingual slice at 0.578 against 0.500, but the gap is not significant (p = 0.23) and it loses heavily everywhere else. multilingual-e5-base remains the right primary encoder for this corpus, and the §VI-F caveat about LaBSE is a statement about one slice of one probe set rather than a better configuration we declined to use.</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w:t>
      </w:r>
    </w:p>
    <w:p>
      <w:pPr>
        <w:spacing w:after="0"/>
        <w:ind w:firstLine="288"/>
        <w:jc w:val="both"/>
      </w:pPr>
      <w:r>
        <w:rPr>
          <w:rFonts w:ascii="Times New Roman" w:hAnsi="Times New Roman"/>
          <w:b/>
          <w:sz w:val="20"/>
        </w:rPr>
        <w:t>The cost may not exist at all.</w:t>
      </w:r>
      <w:r>
        <w:rPr>
          <w:rFonts w:ascii="Times New Roman" w:hAnsi="Times New Roman"/>
          <w:sz w:val="20"/>
        </w:rPr>
        <w:t xml:space="preserve"> The 0.044 is a probe-set figure. Measured on the 320 gold questions (§VI-A.1) the monolingual regression is −0.008 at p = 1.00, while the cross-lingual gain rises to +0.389. Neither set is verified, so we report the probe figure as the conservative one and note that the only measurement taken on real questions found no price worth naming.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§VI-A.2 applies it over multilingual-e5-base, MiniLM-L12 and LaBSE on the gold set, and it improves each by a similar margin (+0.081, +0.103, +0.072),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