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40"/>
        </w:rPr>
        <w:t>Script-Aware Fusion for Cross-Lingual Retrieval:</w:t>
        <w:br/>
        <w:t>Why Naive Hybrid Retrieval Fails on Indic and Code-Mixed Queries</w:t>
      </w:r>
    </w:p>
    <w:p>
      <w:pPr>
        <w:spacing w:after="0"/>
        <w:jc w:val="center"/>
      </w:pPr>
      <w:r>
        <w:rPr>
          <w:rFonts w:ascii="Times New Roman" w:hAnsi="Times New Roman"/>
          <w:sz w:val="22"/>
        </w:rPr>
        <w:t>Dhruv</w:t>
      </w:r>
    </w:p>
    <w:p>
      <w:pPr>
        <w:spacing w:after="0"/>
        <w:jc w:val="center"/>
      </w:pPr>
      <w:r>
        <w:rPr>
          <w:rFonts w:ascii="Times New Roman" w:hAnsi="Times New Roman"/>
          <w:sz w:val="20"/>
        </w:rPr>
        <w:t>School of Computer Science Engineering and Technology, Bennett University</w:t>
      </w:r>
    </w:p>
    <w:p>
      <w:pPr>
        <w:spacing w:after="0"/>
        <w:jc w:val="center"/>
      </w:pPr>
      <w:r>
        <w:rPr>
          <w:rFonts w:ascii="Times New Roman" w:hAnsi="Times New Roman"/>
          <w:sz w:val="20"/>
        </w:rPr>
        <w:t>CSET 346 — Natural Language Processing</w:t>
      </w:r>
    </w:p>
    <w:p>
      <w:pPr>
        <w:sectPr>
          <w:pgSz w:w="12240" w:h="15840"/>
          <w:pgMar w:top="1080" w:right="900" w:bottom="1440" w:left="900" w:header="720" w:footer="720" w:gutter="0"/>
          <w:cols w:space="288" w:num="1" w:equalWidth="1"/>
          <w:docGrid w:linePitch="360"/>
        </w:sectPr>
      </w:pPr>
    </w:p>
    <w:p>
      <w:pPr>
        <w:spacing w:before="200" w:after="80"/>
        <w:jc w:val="center"/>
      </w:pPr>
      <w:r>
        <w:rPr>
          <w:rFonts w:ascii="Times New Roman" w:hAnsi="Times New Roman"/>
          <w:smallCaps/>
          <w:sz w:val="20"/>
        </w:rPr>
        <w:t>Abstract</w:t>
      </w:r>
    </w:p>
    <w:p>
      <w:pPr>
        <w:spacing w:after="0"/>
        <w:ind w:firstLine="288"/>
        <w:jc w:val="both"/>
      </w:pPr>
      <w:r>
        <w:rPr>
          <w:rFonts w:ascii="Times New Roman" w:hAnsi="Times New Roman"/>
          <w:sz w:val="20"/>
        </w:rPr>
        <w:t xml:space="preserve">Retrieval-augmented generation over multilingual corpora is commonly built by fusing a lexical retriever with a dense one, on the assumption that their errors are complementary. We show that this assumption fails in a specific and correctable way when a query and its evidence are written in different scripts. A lexical retriever cannot return a passage whose script differs from the query's, and under Reciprocal Rank Fusion (RRF) such a passage is penalised for that blindness rather than for its own irrelevance. On a bilingual Hindi–English corpus of Indian government welfare schemes and a sealed test split of 216 answerable questions, plain RRF reaches 0.274 Recall@5 on cross-lingual queries against 0.661 for its own dense component. </w:t>
      </w:r>
      <w:r>
        <w:rPr>
          <w:rFonts w:ascii="Times New Roman" w:hAnsi="Times New Roman"/>
          <w:b/>
          <w:sz w:val="20"/>
        </w:rPr>
        <w:t>Script-aware fusion</w:t>
      </w:r>
      <w:r>
        <w:rPr>
          <w:rFonts w:ascii="Times New Roman" w:hAnsi="Times New Roman"/>
          <w:sz w:val="20"/>
        </w:rPr>
        <w:t>, which scores each candidate over the retrievers eligible to return it, recovers 0.685 (+0.411, p = 0.0001) at no monolingual cost; its gain over dense retrieval alone is small (+0.030) and significant only on code-mixed queries. End to end, retrieval raises the share of answers supported by their cited evidence from 0.184 to 0.870, while the choice of retriever does not reach answer quality. For abstention, the BM25 top score separates answerable from unanswerable questions (AUC 0.791) where the fused score does not, and the generator's own abstention catches 22 of 23 near-miss questions. We release a 393-item QA set with a query-language × evidence-language matrix and a four-class unanswerable taxonomy, verified in two language-model passes with its test split reviewed by a person.</w:t>
      </w:r>
    </w:p>
    <w:p>
      <w:pPr>
        <w:spacing w:after="0"/>
        <w:ind w:firstLine="288"/>
        <w:jc w:val="both"/>
      </w:pPr>
      <w:r>
        <w:rPr>
          <w:rFonts w:ascii="Times New Roman" w:hAnsi="Times New Roman"/>
          <w:i/>
          <w:sz w:val="20"/>
        </w:rPr>
        <w:t>Index Terms</w:t>
      </w:r>
      <w:r>
        <w:rPr>
          <w:rFonts w:ascii="Times New Roman" w:hAnsi="Times New Roman"/>
          <w:sz w:val="20"/>
        </w:rPr>
        <w:t xml:space="preserve"> — cross-lingual retrieval, hybrid retrieval, rank fusion, code-mixing, Hindi, retrieval-augmented generation, answerability.</w:t>
      </w:r>
    </w:p>
    <w:p>
      <w:pPr>
        <w:spacing w:before="200" w:after="80"/>
        <w:jc w:val="center"/>
      </w:pPr>
      <w:r>
        <w:rPr>
          <w:rFonts w:ascii="Times New Roman" w:hAnsi="Times New Roman"/>
          <w:smallCaps/>
          <w:sz w:val="20"/>
        </w:rPr>
        <w:t>I. Introduction</w:t>
      </w:r>
    </w:p>
    <w:p>
      <w:pPr>
        <w:spacing w:after="0"/>
        <w:ind w:firstLine="288"/>
        <w:jc w:val="both"/>
      </w:pPr>
      <w:r>
        <w:rPr>
          <w:rFonts w:ascii="Times New Roman" w:hAnsi="Times New Roman"/>
          <w:sz w:val="20"/>
        </w:rPr>
        <w:t xml:space="preserve">Public-interest information in India is routinely published in one language and asked about in another. A citizen checking eligibility for a government scheme may be reading an English circular, or a separately authored Hindi counterpart, and asking in Hindi — or, very often, in Romanized Hindi–English code-mix: </w:t>
      </w:r>
      <w:r>
        <w:rPr>
          <w:rFonts w:ascii="Times New Roman" w:hAnsi="Times New Roman"/>
          <w:i/>
          <w:sz w:val="20"/>
        </w:rPr>
        <w:t>"Scholarship ke liye minimum eligibility kya hai?"</w:t>
      </w:r>
      <w:r>
        <w:rPr>
          <w:rFonts w:ascii="Times New Roman" w:hAnsi="Times New Roman"/>
          <w:sz w:val="20"/>
        </w:rPr>
        <w:t xml:space="preserve"> Keyword search fails on this query three times over: the language, the script and the surface form all differ from the document's.</w:t>
      </w:r>
    </w:p>
    <w:p>
      <w:pPr>
        <w:spacing w:after="0"/>
        <w:ind w:firstLine="288"/>
        <w:jc w:val="both"/>
      </w:pPr>
      <w:r>
        <w:rPr>
          <w:rFonts w:ascii="Times New Roman" w:hAnsi="Times New Roman"/>
          <w:sz w:val="20"/>
        </w:rPr>
        <w:t>The accepted remedy for language mismatch is multilingual dense retrieval, and the accepted remedy for dense retrieval's weakness on rare terms — scheme names, amounts — is hybrid retrieval: fuse the dense ranking with a lexical one, most commonly by RRF [1]. We find that hybrid retrieval assembled this way does not merely fail to help cross-lingual queries; it harms them. On our test split plain RRF reaches 0.274 cross-lingual Recall@5 while its own dense retriever reaches 0.661.</w:t>
      </w:r>
    </w:p>
    <w:p>
      <w:pPr>
        <w:spacing w:after="0"/>
        <w:ind w:firstLine="288"/>
        <w:jc w:val="both"/>
      </w:pPr>
      <w:r>
        <w:rPr>
          <w:rFonts w:ascii="Times New Roman" w:hAnsi="Times New Roman"/>
          <w:sz w:val="20"/>
        </w:rPr>
        <w:t xml:space="preserve">The cause is structural. RRF treats agreement between retrievers as evidence and so discounts a candidate returned by one of them. Across a script boundary the lexical retriever has zero recall by construction, so its silence carries no information — yet fusion charges the candidate for it, exactly where the dense retriever is the only informative signal. The correction is to score each candidate over the retrievers </w:t>
      </w:r>
      <w:r>
        <w:rPr>
          <w:rFonts w:ascii="Times New Roman" w:hAnsi="Times New Roman"/>
          <w:i/>
          <w:sz w:val="20"/>
        </w:rPr>
        <w:t>eligible</w:t>
      </w:r>
      <w:r>
        <w:rPr>
          <w:rFonts w:ascii="Times New Roman" w:hAnsi="Times New Roman"/>
          <w:sz w:val="20"/>
        </w:rPr>
        <w:t xml:space="preserve"> to return it. It needs no training and one lookup per candidate.</w:t>
      </w:r>
    </w:p>
    <w:p>
      <w:pPr>
        <w:spacing w:after="0"/>
        <w:ind w:firstLine="288"/>
        <w:jc w:val="both"/>
      </w:pPr>
      <w:r>
        <w:rPr>
          <w:rFonts w:ascii="Times New Roman" w:hAnsi="Times New Roman"/>
          <w:sz w:val="20"/>
        </w:rPr>
        <w:t>Our contributions are:</w:t>
      </w:r>
    </w:p>
    <w:p>
      <w:pPr>
        <w:pStyle w:val="ListBullet"/>
        <w:spacing w:after="0"/>
      </w:pPr>
      <w:r>
        <w:rPr>
          <w:rFonts w:ascii="Times New Roman" w:hAnsi="Times New Roman"/>
          <w:b/>
          <w:sz w:val="20"/>
        </w:rPr>
        <w:t>Script-aware fusion</w:t>
      </w:r>
      <w:r>
        <w:rPr>
          <w:rFonts w:ascii="Times New Roman" w:hAnsi="Times New Roman"/>
          <w:sz w:val="20"/>
        </w:rPr>
        <w:t>, with its structural cause, paired significance tests, and its limits: it removes a harm plain fusion introduces, and adds little over a strong dense retriever.</w:t>
      </w:r>
    </w:p>
    <w:p>
      <w:pPr>
        <w:pStyle w:val="ListBullet"/>
        <w:spacing w:after="0"/>
      </w:pPr>
      <w:r>
        <w:rPr>
          <w:rFonts w:ascii="Times New Roman" w:hAnsi="Times New Roman"/>
          <w:b/>
          <w:sz w:val="20"/>
        </w:rPr>
        <w:t>A bilingual evidence-grounded QA set</w:t>
      </w:r>
      <w:r>
        <w:rPr>
          <w:rFonts w:ascii="Times New Roman" w:hAnsi="Times New Roman"/>
          <w:sz w:val="20"/>
        </w:rPr>
        <w:t xml:space="preserve"> of 393 items over six query-language × evidence-language cells and four unanswerable classes, with a sealed dev/test split. It was verified in two independent language-model passes, and its test split was then reviewed by a person.</w:t>
      </w:r>
    </w:p>
    <w:p>
      <w:pPr>
        <w:pStyle w:val="ListBullet"/>
        <w:spacing w:after="0"/>
      </w:pPr>
      <w:r>
        <w:rPr>
          <w:rFonts w:ascii="Times New Roman" w:hAnsi="Times New Roman"/>
          <w:b/>
          <w:sz w:val="20"/>
        </w:rPr>
        <w:t>An end-to-end decomposition</w:t>
      </w:r>
      <w:r>
        <w:rPr>
          <w:rFonts w:ascii="Times New Roman" w:hAnsi="Times New Roman"/>
          <w:sz w:val="20"/>
        </w:rPr>
        <w:t xml:space="preserve"> with an oracle-evidence arm, separating retrieval error from generation error.</w:t>
      </w:r>
    </w:p>
    <w:p>
      <w:pPr>
        <w:pStyle w:val="ListBullet"/>
        <w:spacing w:after="0"/>
      </w:pPr>
      <w:r>
        <w:rPr>
          <w:rFonts w:ascii="Times New Roman" w:hAnsi="Times New Roman"/>
          <w:b/>
          <w:sz w:val="20"/>
        </w:rPr>
        <w:t>A four-signal answerability comparison</w:t>
      </w:r>
      <w:r>
        <w:rPr>
          <w:rFonts w:ascii="Times New Roman" w:hAnsi="Times New Roman"/>
          <w:sz w:val="20"/>
        </w:rPr>
        <w:t xml:space="preserve"> showing which score carries an abstention signal and which classes each signal can see.</w:t>
      </w:r>
    </w:p>
    <w:p>
      <w:pPr>
        <w:spacing w:before="200" w:after="80"/>
        <w:jc w:val="center"/>
      </w:pPr>
      <w:r>
        <w:rPr>
          <w:rFonts w:ascii="Times New Roman" w:hAnsi="Times New Roman"/>
          <w:smallCaps/>
          <w:sz w:val="20"/>
        </w:rPr>
        <w:t>II. Related Work</w:t>
      </w:r>
    </w:p>
    <w:p>
      <w:pPr>
        <w:spacing w:after="0"/>
        <w:ind w:firstLine="288"/>
        <w:jc w:val="both"/>
      </w:pPr>
      <w:r>
        <w:rPr>
          <w:rFonts w:ascii="Times New Roman" w:hAnsi="Times New Roman"/>
          <w:b/>
          <w:sz w:val="20"/>
        </w:rPr>
        <w:t>Multilingual dense retrieval.</w:t>
      </w:r>
      <w:r>
        <w:rPr>
          <w:rFonts w:ascii="Times New Roman" w:hAnsi="Times New Roman"/>
          <w:sz w:val="20"/>
        </w:rPr>
        <w:t xml:space="preserve"> Sentence encoders trained with contrastive or translation-ranking objectives — LaBSE [2], multilingual E5 [3] and multilingual Sentence-BERT [4], [5] — place translation-equivalent texts near each other. Benchmarks such as Mr. TyDi [6], MIA 2022 [7] and AfriQA [8] establish that multilingual dense retrieval works and varies by language. They do not isolate what happens to a </w:t>
      </w:r>
      <w:r>
        <w:rPr>
          <w:rFonts w:ascii="Times New Roman" w:hAnsi="Times New Roman"/>
          <w:i/>
          <w:sz w:val="20"/>
        </w:rPr>
        <w:t>fused</w:t>
      </w:r>
      <w:r>
        <w:rPr>
          <w:rFonts w:ascii="Times New Roman" w:hAnsi="Times New Roman"/>
          <w:sz w:val="20"/>
        </w:rPr>
        <w:t xml:space="preserve"> system when query and evidence scripts differ.</w:t>
      </w:r>
    </w:p>
    <w:p>
      <w:pPr>
        <w:spacing w:after="0"/>
        <w:ind w:firstLine="288"/>
        <w:jc w:val="both"/>
      </w:pPr>
      <w:r>
        <w:rPr>
          <w:rFonts w:ascii="Times New Roman" w:hAnsi="Times New Roman"/>
          <w:b/>
          <w:sz w:val="20"/>
        </w:rPr>
        <w:t>Indic representations.</w:t>
      </w:r>
      <w:r>
        <w:rPr>
          <w:rFonts w:ascii="Times New Roman" w:hAnsi="Times New Roman"/>
          <w:sz w:val="20"/>
        </w:rPr>
        <w:t xml:space="preserve"> MuRIL [9] and IndicBERT [10] are pretrained on Indian-language text and evaluated on understanding benchmarks. Both are masked-language-model checkpoints without a trained sentence-pooling layer, and MLM representations are anisotropic [11], [12], a geometry that defeats similarity search. Their fitness for retrieval is usually assumed; we measure it.</w:t>
      </w:r>
    </w:p>
    <w:p>
      <w:pPr>
        <w:spacing w:after="0"/>
        <w:ind w:firstLine="288"/>
        <w:jc w:val="both"/>
      </w:pPr>
      <w:r>
        <w:rPr>
          <w:rFonts w:ascii="Times New Roman" w:hAnsi="Times New Roman"/>
          <w:b/>
          <w:sz w:val="20"/>
        </w:rPr>
        <w:t>Hybrid retrieval.</w:t>
      </w:r>
      <w:r>
        <w:rPr>
          <w:rFonts w:ascii="Times New Roman" w:hAnsi="Times New Roman"/>
          <w:sz w:val="20"/>
        </w:rPr>
        <w:t xml:space="preserve"> RRF [1] is the default combiner because it needs no normalisation or tuning. Learned alternatives to the sparse half — ColBERT [13], SPLADE [14] — do not bridge a script boundary, since neither can match a Devanagari passage to a Latin query with no shared surface form. Tu and Padmanabhan [15] restrict sparse retrieval to the question's language in a dense–sparse hybrid, which avoids the retrieval problem; the fusion step still treats a dense-only passage as weakly evidenced.</w:t>
      </w:r>
    </w:p>
    <w:p>
      <w:pPr>
        <w:spacing w:after="0"/>
        <w:ind w:firstLine="288"/>
        <w:jc w:val="both"/>
      </w:pPr>
      <w:r>
        <w:rPr>
          <w:rFonts w:ascii="Times New Roman" w:hAnsi="Times New Roman"/>
          <w:b/>
          <w:sz w:val="20"/>
        </w:rPr>
        <w:t>Answerability.</w:t>
      </w:r>
      <w:r>
        <w:rPr>
          <w:rFonts w:ascii="Times New Roman" w:hAnsi="Times New Roman"/>
          <w:sz w:val="20"/>
        </w:rPr>
        <w:t xml:space="preserve"> SQuAD 2.0 [16] made unanswerable questions a first-class target and wrote them to resemble answerable ones. Existing resources report an undifferentiated unanswerable class. We stratify it, because the classes behave differently under every signal we test.</w:t>
      </w:r>
    </w:p>
    <w:p>
      <w:pPr>
        <w:spacing w:before="200" w:after="80"/>
        <w:jc w:val="center"/>
      </w:pPr>
      <w:r>
        <w:rPr>
          <w:rFonts w:ascii="Times New Roman" w:hAnsi="Times New Roman"/>
          <w:smallCaps/>
          <w:sz w:val="20"/>
        </w:rPr>
        <w:t>III. Dataset</w:t>
      </w:r>
    </w:p>
    <w:p>
      <w:pPr>
        <w:spacing w:before="200" w:after="80"/>
        <w:jc w:val="left"/>
      </w:pPr>
      <w:r>
        <w:rPr>
          <w:rFonts w:ascii="Times New Roman" w:hAnsi="Times New Roman"/>
          <w:i/>
          <w:sz w:val="20"/>
        </w:rPr>
        <w:t>A. Corpus</w:t>
      </w:r>
    </w:p>
    <w:p>
      <w:pPr>
        <w:spacing w:after="0"/>
        <w:ind w:firstLine="288"/>
        <w:jc w:val="both"/>
      </w:pPr>
      <w:r>
        <w:rPr>
          <w:rFonts w:ascii="Times New Roman" w:hAnsi="Times New Roman"/>
          <w:sz w:val="20"/>
        </w:rPr>
        <w:t>The corpus is bilingual by construction: each of 40 government schemes is represented by an English and a Hindi Wikipedia article linked by Wikipedia's own interlanguage links, giving 80 independently authored documents in 14 scheme categories. We first attempted official ministry guidelines, but Hindi pages returned soft 404s and the guideline PDFs were image-only scans — an 18-page document yielded 17 characters of text — so the corpus is encyclopedic rather than regulatory, and we claim nothing about statutory prose. Every Hindi document passes five Devanagari integrity checks (misplaced vowel signs, dangling viramas, codepoint ratio, function-word rate, replacement characters). Structure-aware segmentation packs sections into 120–220-token passages with 25% overlap, giving 694 passages.</w:t>
      </w:r>
    </w:p>
    <w:p>
      <w:pPr>
        <w:spacing w:before="200" w:after="80"/>
        <w:jc w:val="left"/>
      </w:pPr>
      <w:r>
        <w:rPr>
          <w:rFonts w:ascii="Times New Roman" w:hAnsi="Times New Roman"/>
          <w:i/>
          <w:sz w:val="20"/>
        </w:rPr>
        <w:t>B. Question set</w:t>
      </w:r>
    </w:p>
    <w:p>
      <w:pPr>
        <w:spacing w:after="0"/>
        <w:ind w:firstLine="288"/>
        <w:jc w:val="both"/>
      </w:pPr>
      <w:r>
        <w:rPr>
          <w:rFonts w:ascii="Times New Roman" w:hAnsi="Times New Roman"/>
          <w:sz w:val="20"/>
        </w:rPr>
        <w:t xml:space="preserve">The set was built as 400 items: 320 answerable, placed in an explicit matrix of query language against evidence language (Table I), and 80 unanswerable in four classes (Table II). Cross-lingual items translate the question and leave the evidence where it is, and gold evidence is a </w:t>
      </w:r>
      <w:r>
        <w:rPr>
          <w:rFonts w:ascii="Times New Roman" w:hAnsi="Times New Roman"/>
          <w:i/>
          <w:sz w:val="20"/>
        </w:rPr>
        <w:t>set</w:t>
      </w:r>
      <w:r>
        <w:rPr>
          <w:rFonts w:ascii="Times New Roman" w:hAnsi="Times New Roman"/>
          <w:sz w:val="20"/>
        </w:rPr>
        <w:t xml:space="preserve"> of passages, so a fact stated in both language versions counts in either.</w:t>
      </w:r>
    </w:p>
    <w:p>
      <w:pPr>
        <w:spacing w:after="0"/>
        <w:ind w:firstLine="288"/>
        <w:jc w:val="both"/>
      </w:pPr>
      <w:r>
        <w:rPr>
          <w:rFonts w:ascii="Times New Roman" w:hAnsi="Times New Roman"/>
          <w:b/>
          <w:sz w:val="20"/>
        </w:rPr>
        <w:t>TABLE I — Answerable items (verified), by query and evidence language</w:t>
      </w:r>
    </w:p>
    <w:tbl>
      <w:tblPr>
        <w:tblStyle w:val="TableGrid"/>
        <w:tblW w:type="auto" w:w="0"/>
        <w:tblLayout w:type="autofit"/>
        <w:tblLook w:firstColumn="1" w:firstRow="1" w:lastColumn="0" w:lastRow="0" w:noHBand="0" w:noVBand="1" w:val="04A0"/>
      </w:tblPr>
      <w:tblGrid>
        <w:gridCol w:w="2610"/>
        <w:gridCol w:w="2610"/>
        <w:gridCol w:w="2610"/>
        <w:gridCol w:w="2610"/>
      </w:tblGrid>
      <w:tr>
        <w:tc>
          <w:tcPr>
            <w:tcW w:type="dxa" w:w="2610"/>
          </w:tcPr>
          <w:p>
            <w:pPr>
              <w:spacing w:after="0"/>
            </w:pPr>
            <w:r/>
            <w:r>
              <w:rPr>
                <w:rFonts w:ascii="Times New Roman" w:hAnsi="Times New Roman"/>
                <w:b/>
                <w:sz w:val="16"/>
              </w:rPr>
              <w:t>Query ↓ / Evidence →</w:t>
            </w:r>
          </w:p>
        </w:tc>
        <w:tc>
          <w:tcPr>
            <w:tcW w:type="dxa" w:w="2610"/>
          </w:tcPr>
          <w:p>
            <w:pPr>
              <w:spacing w:after="0"/>
            </w:pPr>
            <w:r/>
            <w:r>
              <w:rPr>
                <w:rFonts w:ascii="Times New Roman" w:hAnsi="Times New Roman"/>
                <w:b/>
                <w:sz w:val="16"/>
              </w:rPr>
              <w:t>English</w:t>
            </w:r>
          </w:p>
        </w:tc>
        <w:tc>
          <w:tcPr>
            <w:tcW w:type="dxa" w:w="2610"/>
          </w:tcPr>
          <w:p>
            <w:pPr>
              <w:spacing w:after="0"/>
            </w:pPr>
            <w:r/>
            <w:r>
              <w:rPr>
                <w:rFonts w:ascii="Times New Roman" w:hAnsi="Times New Roman"/>
                <w:b/>
                <w:sz w:val="16"/>
              </w:rPr>
              <w:t>Hindi</w:t>
            </w:r>
          </w:p>
        </w:tc>
        <w:tc>
          <w:tcPr>
            <w:tcW w:type="dxa" w:w="2610"/>
          </w:tcPr>
          <w:p>
            <w:pPr>
              <w:spacing w:after="0"/>
            </w:pPr>
            <w:r/>
            <w:r>
              <w:rPr>
                <w:rFonts w:ascii="Times New Roman" w:hAnsi="Times New Roman"/>
                <w:b/>
                <w:sz w:val="16"/>
              </w:rPr>
              <w:t>Total</w:t>
            </w:r>
          </w:p>
        </w:tc>
      </w:tr>
      <w:tr>
        <w:tc>
          <w:tcPr>
            <w:tcW w:type="dxa" w:w="2610"/>
          </w:tcPr>
          <w:p>
            <w:pPr>
              <w:spacing w:after="0"/>
            </w:pPr>
            <w:r>
              <w:rPr>
                <w:sz w:val="16"/>
              </w:rPr>
            </w:r>
            <w:r>
              <w:rPr>
                <w:rFonts w:ascii="Times New Roman" w:hAnsi="Times New Roman"/>
                <w:sz w:val="16"/>
              </w:rPr>
              <w:t>English</w:t>
            </w:r>
          </w:p>
        </w:tc>
        <w:tc>
          <w:tcPr>
            <w:tcW w:type="dxa" w:w="2610"/>
          </w:tcPr>
          <w:p>
            <w:pPr>
              <w:spacing w:after="0"/>
            </w:pPr>
            <w:r>
              <w:rPr>
                <w:sz w:val="16"/>
              </w:rPr>
            </w:r>
            <w:r>
              <w:rPr>
                <w:rFonts w:ascii="Times New Roman" w:hAnsi="Times New Roman"/>
                <w:sz w:val="16"/>
              </w:rPr>
              <w:t>69</w:t>
            </w:r>
          </w:p>
        </w:tc>
        <w:tc>
          <w:tcPr>
            <w:tcW w:type="dxa" w:w="2610"/>
          </w:tcPr>
          <w:p>
            <w:pPr>
              <w:spacing w:after="0"/>
            </w:pPr>
            <w:r>
              <w:rPr>
                <w:sz w:val="16"/>
              </w:rPr>
            </w:r>
            <w:r>
              <w:rPr>
                <w:rFonts w:ascii="Times New Roman" w:hAnsi="Times New Roman"/>
                <w:sz w:val="16"/>
              </w:rPr>
              <w:t>45</w:t>
            </w:r>
          </w:p>
        </w:tc>
        <w:tc>
          <w:tcPr>
            <w:tcW w:type="dxa" w:w="2610"/>
          </w:tcPr>
          <w:p>
            <w:pPr>
              <w:spacing w:after="0"/>
            </w:pPr>
            <w:r>
              <w:rPr>
                <w:sz w:val="16"/>
              </w:rPr>
            </w:r>
            <w:r>
              <w:rPr>
                <w:rFonts w:ascii="Times New Roman" w:hAnsi="Times New Roman"/>
                <w:sz w:val="16"/>
              </w:rPr>
              <w:t>114</w:t>
            </w:r>
          </w:p>
        </w:tc>
      </w:tr>
      <w:tr>
        <w:tc>
          <w:tcPr>
            <w:tcW w:type="dxa" w:w="2610"/>
          </w:tcPr>
          <w:p>
            <w:pPr>
              <w:spacing w:after="0"/>
            </w:pPr>
            <w:r>
              <w:rPr>
                <w:sz w:val="16"/>
              </w:rPr>
            </w:r>
            <w:r>
              <w:rPr>
                <w:rFonts w:ascii="Times New Roman" w:hAnsi="Times New Roman"/>
                <w:sz w:val="16"/>
              </w:rPr>
              <w:t>Hindi (Devanagari)</w:t>
            </w:r>
          </w:p>
        </w:tc>
        <w:tc>
          <w:tcPr>
            <w:tcW w:type="dxa" w:w="2610"/>
          </w:tcPr>
          <w:p>
            <w:pPr>
              <w:spacing w:after="0"/>
            </w:pPr>
            <w:r>
              <w:rPr>
                <w:sz w:val="16"/>
              </w:rPr>
            </w:r>
            <w:r>
              <w:rPr>
                <w:rFonts w:ascii="Times New Roman" w:hAnsi="Times New Roman"/>
                <w:sz w:val="16"/>
              </w:rPr>
              <w:t>44</w:t>
            </w:r>
          </w:p>
        </w:tc>
        <w:tc>
          <w:tcPr>
            <w:tcW w:type="dxa" w:w="2610"/>
          </w:tcPr>
          <w:p>
            <w:pPr>
              <w:spacing w:after="0"/>
            </w:pPr>
            <w:r>
              <w:rPr>
                <w:sz w:val="16"/>
              </w:rPr>
            </w:r>
            <w:r>
              <w:rPr>
                <w:rFonts w:ascii="Times New Roman" w:hAnsi="Times New Roman"/>
                <w:sz w:val="16"/>
              </w:rPr>
              <w:t>59</w:t>
            </w:r>
          </w:p>
        </w:tc>
        <w:tc>
          <w:tcPr>
            <w:tcW w:type="dxa" w:w="2610"/>
          </w:tcPr>
          <w:p>
            <w:pPr>
              <w:spacing w:after="0"/>
            </w:pPr>
            <w:r>
              <w:rPr>
                <w:sz w:val="16"/>
              </w:rPr>
            </w:r>
            <w:r>
              <w:rPr>
                <w:rFonts w:ascii="Times New Roman" w:hAnsi="Times New Roman"/>
                <w:sz w:val="16"/>
              </w:rPr>
              <w:t>103</w:t>
            </w:r>
          </w:p>
        </w:tc>
      </w:tr>
      <w:tr>
        <w:tc>
          <w:tcPr>
            <w:tcW w:type="dxa" w:w="2610"/>
          </w:tcPr>
          <w:p>
            <w:pPr>
              <w:spacing w:after="0"/>
            </w:pPr>
            <w:r>
              <w:rPr>
                <w:sz w:val="16"/>
              </w:rPr>
            </w:r>
            <w:r>
              <w:rPr>
                <w:rFonts w:ascii="Times New Roman" w:hAnsi="Times New Roman"/>
                <w:sz w:val="16"/>
              </w:rPr>
              <w:t>Hinglish (Romanized)</w:t>
            </w:r>
          </w:p>
        </w:tc>
        <w:tc>
          <w:tcPr>
            <w:tcW w:type="dxa" w:w="2610"/>
          </w:tcPr>
          <w:p>
            <w:pPr>
              <w:spacing w:after="0"/>
            </w:pPr>
            <w:r>
              <w:rPr>
                <w:sz w:val="16"/>
              </w:rPr>
            </w:r>
            <w:r>
              <w:rPr>
                <w:rFonts w:ascii="Times New Roman" w:hAnsi="Times New Roman"/>
                <w:sz w:val="16"/>
              </w:rPr>
              <w:t>51</w:t>
            </w:r>
          </w:p>
        </w:tc>
        <w:tc>
          <w:tcPr>
            <w:tcW w:type="dxa" w:w="2610"/>
          </w:tcPr>
          <w:p>
            <w:pPr>
              <w:spacing w:after="0"/>
            </w:pPr>
            <w:r>
              <w:rPr>
                <w:sz w:val="16"/>
              </w:rPr>
            </w:r>
            <w:r>
              <w:rPr>
                <w:rFonts w:ascii="Times New Roman" w:hAnsi="Times New Roman"/>
                <w:sz w:val="16"/>
              </w:rPr>
              <w:t>45</w:t>
            </w:r>
          </w:p>
        </w:tc>
        <w:tc>
          <w:tcPr>
            <w:tcW w:type="dxa" w:w="2610"/>
          </w:tcPr>
          <w:p>
            <w:pPr>
              <w:spacing w:after="0"/>
            </w:pPr>
            <w:r>
              <w:rPr>
                <w:sz w:val="16"/>
              </w:rPr>
            </w:r>
            <w:r>
              <w:rPr>
                <w:rFonts w:ascii="Times New Roman" w:hAnsi="Times New Roman"/>
                <w:sz w:val="16"/>
              </w:rPr>
              <w:t>96</w:t>
            </w:r>
          </w:p>
        </w:tc>
      </w:tr>
      <w:tr>
        <w:tc>
          <w:tcPr>
            <w:tcW w:type="dxa" w:w="2610"/>
          </w:tcPr>
          <w:p>
            <w:pPr>
              <w:spacing w:after="0"/>
            </w:pPr>
            <w:r>
              <w:rPr>
                <w:sz w:val="16"/>
              </w:rPr>
            </w:r>
            <w:r>
              <w:rPr>
                <w:rFonts w:ascii="Times New Roman" w:hAnsi="Times New Roman"/>
                <w:b/>
                <w:sz w:val="16"/>
              </w:rPr>
              <w:t>Total</w:t>
            </w:r>
          </w:p>
        </w:tc>
        <w:tc>
          <w:tcPr>
            <w:tcW w:type="dxa" w:w="2610"/>
          </w:tcPr>
          <w:p>
            <w:pPr>
              <w:spacing w:after="0"/>
            </w:pPr>
            <w:r>
              <w:rPr>
                <w:sz w:val="16"/>
              </w:rPr>
            </w:r>
            <w:r>
              <w:rPr>
                <w:rFonts w:ascii="Times New Roman" w:hAnsi="Times New Roman"/>
                <w:sz w:val="16"/>
              </w:rPr>
              <w:t>164</w:t>
            </w:r>
          </w:p>
        </w:tc>
        <w:tc>
          <w:tcPr>
            <w:tcW w:type="dxa" w:w="2610"/>
          </w:tcPr>
          <w:p>
            <w:pPr>
              <w:spacing w:after="0"/>
            </w:pPr>
            <w:r>
              <w:rPr>
                <w:sz w:val="16"/>
              </w:rPr>
            </w:r>
            <w:r>
              <w:rPr>
                <w:rFonts w:ascii="Times New Roman" w:hAnsi="Times New Roman"/>
                <w:sz w:val="16"/>
              </w:rPr>
              <w:t>149</w:t>
            </w:r>
          </w:p>
        </w:tc>
        <w:tc>
          <w:tcPr>
            <w:tcW w:type="dxa" w:w="2610"/>
          </w:tcPr>
          <w:p>
            <w:pPr>
              <w:spacing w:after="0"/>
            </w:pPr>
            <w:r>
              <w:rPr>
                <w:sz w:val="16"/>
              </w:rPr>
            </w:r>
            <w:r>
              <w:rPr>
                <w:rFonts w:ascii="Times New Roman" w:hAnsi="Times New Roman"/>
                <w:b/>
                <w:sz w:val="16"/>
              </w:rPr>
              <w:t>313</w:t>
            </w:r>
          </w:p>
        </w:tc>
      </w:tr>
    </w:tbl>
    <w:p>
      <w:pPr>
        <w:spacing w:after="40"/>
      </w:pPr>
    </w:p>
    <w:p>
      <w:pPr>
        <w:spacing w:after="0"/>
        <w:ind w:firstLine="288"/>
        <w:jc w:val="both"/>
      </w:pPr>
      <w:r>
        <w:rPr>
          <w:rFonts w:ascii="Times New Roman" w:hAnsi="Times New Roman"/>
          <w:sz w:val="20"/>
        </w:rPr>
        <w:t xml:space="preserve">This yields three groups: </w:t>
      </w:r>
      <w:r>
        <w:rPr>
          <w:rFonts w:ascii="Times New Roman" w:hAnsi="Times New Roman"/>
          <w:b/>
          <w:sz w:val="20"/>
        </w:rPr>
        <w:t>monolingual</w:t>
      </w:r>
      <w:r>
        <w:rPr>
          <w:rFonts w:ascii="Times New Roman" w:hAnsi="Times New Roman"/>
          <w:sz w:val="20"/>
        </w:rPr>
        <w:t xml:space="preserve"> (128), </w:t>
      </w:r>
      <w:r>
        <w:rPr>
          <w:rFonts w:ascii="Times New Roman" w:hAnsi="Times New Roman"/>
          <w:b/>
          <w:sz w:val="20"/>
        </w:rPr>
        <w:t>cross-lingual</w:t>
      </w:r>
      <w:r>
        <w:rPr>
          <w:rFonts w:ascii="Times New Roman" w:hAnsi="Times New Roman"/>
          <w:sz w:val="20"/>
        </w:rPr>
        <w:t xml:space="preserve"> (89), and </w:t>
      </w:r>
      <w:r>
        <w:rPr>
          <w:rFonts w:ascii="Times New Roman" w:hAnsi="Times New Roman"/>
          <w:b/>
          <w:sz w:val="20"/>
        </w:rPr>
        <w:t>code-mixed</w:t>
      </w:r>
      <w:r>
        <w:rPr>
          <w:rFonts w:ascii="Times New Roman" w:hAnsi="Times New Roman"/>
          <w:sz w:val="20"/>
        </w:rPr>
        <w:t xml:space="preserve"> (96) — Romanized queries whose evidence is never in the query's script.</w:t>
      </w:r>
    </w:p>
    <w:p>
      <w:pPr>
        <w:spacing w:after="0"/>
        <w:ind w:firstLine="288"/>
        <w:jc w:val="both"/>
      </w:pPr>
      <w:r>
        <w:rPr>
          <w:rFonts w:ascii="Times New Roman" w:hAnsi="Times New Roman"/>
          <w:b/>
          <w:sz w:val="20"/>
        </w:rPr>
        <w:t>TABLE II — Unanswerable taxonomy (verified)</w:t>
      </w:r>
    </w:p>
    <w:tbl>
      <w:tblPr>
        <w:tblStyle w:val="TableGrid"/>
        <w:tblW w:type="auto" w:w="0"/>
        <w:tblLayout w:type="autofit"/>
        <w:tblLook w:firstColumn="1" w:firstRow="1" w:lastColumn="0" w:lastRow="0" w:noHBand="0" w:noVBand="1" w:val="04A0"/>
      </w:tblPr>
      <w:tblGrid>
        <w:gridCol w:w="3480"/>
        <w:gridCol w:w="3480"/>
        <w:gridCol w:w="3480"/>
      </w:tblGrid>
      <w:tr>
        <w:tc>
          <w:tcPr>
            <w:tcW w:type="dxa" w:w="3480"/>
          </w:tcPr>
          <w:p>
            <w:pPr>
              <w:spacing w:after="0"/>
            </w:pPr>
            <w:r/>
            <w:r>
              <w:rPr>
                <w:rFonts w:ascii="Times New Roman" w:hAnsi="Times New Roman"/>
                <w:b/>
                <w:sz w:val="16"/>
              </w:rPr>
              <w:t>Class</w:t>
            </w:r>
          </w:p>
        </w:tc>
        <w:tc>
          <w:tcPr>
            <w:tcW w:type="dxa" w:w="3480"/>
          </w:tcPr>
          <w:p>
            <w:pPr>
              <w:spacing w:after="0"/>
            </w:pPr>
            <w:r/>
            <w:r>
              <w:rPr>
                <w:rFonts w:ascii="Times New Roman" w:hAnsi="Times New Roman"/>
                <w:b/>
                <w:sz w:val="16"/>
              </w:rPr>
              <w:t>n</w:t>
            </w:r>
          </w:p>
        </w:tc>
        <w:tc>
          <w:tcPr>
            <w:tcW w:type="dxa" w:w="3480"/>
          </w:tcPr>
          <w:p>
            <w:pPr>
              <w:spacing w:after="0"/>
            </w:pPr>
            <w:r/>
            <w:r>
              <w:rPr>
                <w:rFonts w:ascii="Times New Roman" w:hAnsi="Times New Roman"/>
                <w:b/>
                <w:sz w:val="16"/>
              </w:rPr>
              <w:t>Definition</w:t>
            </w:r>
          </w:p>
        </w:tc>
      </w:tr>
      <w:tr>
        <w:tc>
          <w:tcPr>
            <w:tcW w:type="dxa" w:w="3480"/>
          </w:tcPr>
          <w:p>
            <w:pPr>
              <w:spacing w:after="0"/>
            </w:pPr>
            <w:r>
              <w:rPr>
                <w:sz w:val="16"/>
              </w:rPr>
            </w:r>
            <w:r>
              <w:rPr>
                <w:rFonts w:ascii="Times New Roman" w:hAnsi="Times New Roman"/>
                <w:sz w:val="16"/>
              </w:rPr>
              <w:t>Out-of-scope</w:t>
            </w:r>
          </w:p>
        </w:tc>
        <w:tc>
          <w:tcPr>
            <w:tcW w:type="dxa" w:w="3480"/>
          </w:tcPr>
          <w:p>
            <w:pPr>
              <w:spacing w:after="0"/>
            </w:pPr>
            <w:r>
              <w:rPr>
                <w:sz w:val="16"/>
              </w:rPr>
            </w:r>
            <w:r>
              <w:rPr>
                <w:rFonts w:ascii="Times New Roman" w:hAnsi="Times New Roman"/>
                <w:sz w:val="16"/>
              </w:rPr>
              <w:t>25</w:t>
            </w:r>
          </w:p>
        </w:tc>
        <w:tc>
          <w:tcPr>
            <w:tcW w:type="dxa" w:w="3480"/>
          </w:tcPr>
          <w:p>
            <w:pPr>
              <w:spacing w:after="0"/>
            </w:pPr>
            <w:r>
              <w:rPr>
                <w:sz w:val="16"/>
              </w:rPr>
            </w:r>
            <w:r>
              <w:rPr>
                <w:rFonts w:ascii="Times New Roman" w:hAnsi="Times New Roman"/>
                <w:sz w:val="16"/>
              </w:rPr>
              <w:t>Topic absent from the corpus</w:t>
            </w:r>
          </w:p>
        </w:tc>
      </w:tr>
      <w:tr>
        <w:tc>
          <w:tcPr>
            <w:tcW w:type="dxa" w:w="3480"/>
          </w:tcPr>
          <w:p>
            <w:pPr>
              <w:spacing w:after="0"/>
            </w:pPr>
            <w:r>
              <w:rPr>
                <w:sz w:val="16"/>
              </w:rPr>
            </w:r>
            <w:r>
              <w:rPr>
                <w:rFonts w:ascii="Times New Roman" w:hAnsi="Times New Roman"/>
                <w:sz w:val="16"/>
              </w:rPr>
              <w:t>Near-miss</w:t>
            </w:r>
          </w:p>
        </w:tc>
        <w:tc>
          <w:tcPr>
            <w:tcW w:type="dxa" w:w="3480"/>
          </w:tcPr>
          <w:p>
            <w:pPr>
              <w:spacing w:after="0"/>
            </w:pPr>
            <w:r>
              <w:rPr>
                <w:sz w:val="16"/>
              </w:rPr>
            </w:r>
            <w:r>
              <w:rPr>
                <w:rFonts w:ascii="Times New Roman" w:hAnsi="Times New Roman"/>
                <w:sz w:val="16"/>
              </w:rPr>
              <w:t>29</w:t>
            </w:r>
          </w:p>
        </w:tc>
        <w:tc>
          <w:tcPr>
            <w:tcW w:type="dxa" w:w="3480"/>
          </w:tcPr>
          <w:p>
            <w:pPr>
              <w:spacing w:after="0"/>
            </w:pPr>
            <w:r>
              <w:rPr>
                <w:sz w:val="16"/>
              </w:rPr>
            </w:r>
            <w:r>
              <w:rPr>
                <w:rFonts w:ascii="Times New Roman" w:hAnsi="Times New Roman"/>
                <w:sz w:val="16"/>
              </w:rPr>
              <w:t>Scheme present; the specific fact is not</w:t>
            </w:r>
          </w:p>
        </w:tc>
      </w:tr>
      <w:tr>
        <w:tc>
          <w:tcPr>
            <w:tcW w:type="dxa" w:w="3480"/>
          </w:tcPr>
          <w:p>
            <w:pPr>
              <w:spacing w:after="0"/>
            </w:pPr>
            <w:r>
              <w:rPr>
                <w:sz w:val="16"/>
              </w:rPr>
            </w:r>
            <w:r>
              <w:rPr>
                <w:rFonts w:ascii="Times New Roman" w:hAnsi="Times New Roman"/>
                <w:sz w:val="16"/>
              </w:rPr>
              <w:t>False premise</w:t>
            </w:r>
          </w:p>
        </w:tc>
        <w:tc>
          <w:tcPr>
            <w:tcW w:type="dxa" w:w="3480"/>
          </w:tcPr>
          <w:p>
            <w:pPr>
              <w:spacing w:after="0"/>
            </w:pPr>
            <w:r>
              <w:rPr>
                <w:sz w:val="16"/>
              </w:rPr>
            </w:r>
            <w:r>
              <w:rPr>
                <w:rFonts w:ascii="Times New Roman" w:hAnsi="Times New Roman"/>
                <w:sz w:val="16"/>
              </w:rPr>
              <w:t>16</w:t>
            </w:r>
          </w:p>
        </w:tc>
        <w:tc>
          <w:tcPr>
            <w:tcW w:type="dxa" w:w="3480"/>
          </w:tcPr>
          <w:p>
            <w:pPr>
              <w:spacing w:after="0"/>
            </w:pPr>
            <w:r>
              <w:rPr>
                <w:sz w:val="16"/>
              </w:rPr>
            </w:r>
            <w:r>
              <w:rPr>
                <w:rFonts w:ascii="Times New Roman" w:hAnsi="Times New Roman"/>
                <w:sz w:val="16"/>
              </w:rPr>
              <w:t>Presupposes a benefit that does not exist</w:t>
            </w:r>
          </w:p>
        </w:tc>
      </w:tr>
      <w:tr>
        <w:tc>
          <w:tcPr>
            <w:tcW w:type="dxa" w:w="3480"/>
          </w:tcPr>
          <w:p>
            <w:pPr>
              <w:spacing w:after="0"/>
            </w:pPr>
            <w:r>
              <w:rPr>
                <w:sz w:val="16"/>
              </w:rPr>
            </w:r>
            <w:r>
              <w:rPr>
                <w:rFonts w:ascii="Times New Roman" w:hAnsi="Times New Roman"/>
                <w:sz w:val="16"/>
              </w:rPr>
              <w:t>Under-specified</w:t>
            </w:r>
          </w:p>
        </w:tc>
        <w:tc>
          <w:tcPr>
            <w:tcW w:type="dxa" w:w="3480"/>
          </w:tcPr>
          <w:p>
            <w:pPr>
              <w:spacing w:after="0"/>
            </w:pPr>
            <w:r>
              <w:rPr>
                <w:sz w:val="16"/>
              </w:rPr>
            </w:r>
            <w:r>
              <w:rPr>
                <w:rFonts w:ascii="Times New Roman" w:hAnsi="Times New Roman"/>
                <w:sz w:val="16"/>
              </w:rPr>
              <w:t>10</w:t>
            </w:r>
          </w:p>
        </w:tc>
        <w:tc>
          <w:tcPr>
            <w:tcW w:type="dxa" w:w="3480"/>
          </w:tcPr>
          <w:p>
            <w:pPr>
              <w:spacing w:after="0"/>
            </w:pPr>
            <w:r>
              <w:rPr>
                <w:sz w:val="16"/>
              </w:rPr>
            </w:r>
            <w:r>
              <w:rPr>
                <w:rFonts w:ascii="Times New Roman" w:hAnsi="Times New Roman"/>
                <w:sz w:val="16"/>
              </w:rPr>
              <w:t>Unanswerable without naming a scheme</w:t>
            </w:r>
          </w:p>
        </w:tc>
      </w:tr>
    </w:tbl>
    <w:p>
      <w:pPr>
        <w:spacing w:after="40"/>
      </w:pPr>
    </w:p>
    <w:p>
      <w:pPr>
        <w:spacing w:after="0"/>
        <w:ind w:firstLine="288"/>
        <w:jc w:val="both"/>
      </w:pPr>
      <w:r>
        <w:rPr>
          <w:rFonts w:ascii="Times New Roman" w:hAnsi="Times New Roman"/>
          <w:sz w:val="20"/>
        </w:rPr>
        <w:t xml:space="preserve">Candidates were bootstrapped with Qwen2.5-3B-Instruct. </w:t>
      </w:r>
      <w:r>
        <w:rPr>
          <w:rFonts w:ascii="Times New Roman" w:hAnsi="Times New Roman"/>
          <w:b/>
          <w:sz w:val="20"/>
        </w:rPr>
        <w:t>Verification began with a language model (Claude Opus 5.5) and ended with a person.</w:t>
      </w:r>
      <w:r>
        <w:rPr>
          <w:rFonts w:ascii="Times New Roman" w:hAnsi="Times New Roman"/>
          <w:sz w:val="20"/>
        </w:rPr>
        <w:t xml:space="preserve"> A first pass read every item against its evidence and found 63 answerable items whose gold answer the passage contradicted or did not state, and 112 questions that were unreadable machine translation; these were corrected or replaced. A second pass by fresh instances confirmed 353 items, corrected 42 and rejected 5, and added other-language passages stating the same fact to 73 items. The result is 393 items (313 answerable, 80 unanswerable). The author then reviewed all 273 test-split items against their evidence, with the model's notes shown, and accepted all 273 unchanged; the 120 dev items, used only for fitting thresholds, rest on the model passes. A blind re-labelling of 59 items by another model instance agreed perfectly (κ = 1.000); that measures one model's consistency, not agreement between annotators. The set was split once, stratified by query language, answerability and scheme (seed 20260922): </w:t>
      </w:r>
      <w:r>
        <w:rPr>
          <w:rFonts w:ascii="Times New Roman" w:hAnsi="Times New Roman"/>
          <w:b/>
          <w:sz w:val="20"/>
        </w:rPr>
        <w:t>dev 120, test 273</w:t>
      </w:r>
      <w:r>
        <w:rPr>
          <w:rFonts w:ascii="Times New Roman" w:hAnsi="Times New Roman"/>
          <w:sz w:val="20"/>
        </w:rPr>
        <w:t xml:space="preserve"> (216 answerable).</w:t>
      </w:r>
    </w:p>
    <w:p>
      <w:pPr>
        <w:spacing w:after="0"/>
        <w:ind w:firstLine="288"/>
        <w:jc w:val="both"/>
      </w:pPr>
      <w:r>
        <w:rPr>
          <w:rFonts w:ascii="Times New Roman" w:hAnsi="Times New Roman"/>
          <w:b/>
          <w:sz w:val="20"/>
        </w:rPr>
        <w:t>Leakage.</w:t>
      </w:r>
      <w:r>
        <w:rPr>
          <w:rFonts w:ascii="Times New Roman" w:hAnsi="Times New Roman"/>
          <w:sz w:val="20"/>
        </w:rPr>
        <w:t xml:space="preserve"> Bootstrapped questions can copy their passage's wording and flatter lexical retrieval. On same-script items, question–passage content-token Jaccard has median 0.077, and within each same-script cell the BM25-minus-dense gap does not grow with overlap (all p ≥ 0.25).</w:t>
      </w:r>
    </w:p>
    <w:p>
      <w:pPr>
        <w:spacing w:before="200" w:after="80"/>
        <w:jc w:val="center"/>
      </w:pPr>
      <w:r>
        <w:rPr>
          <w:rFonts w:ascii="Times New Roman" w:hAnsi="Times New Roman"/>
          <w:smallCaps/>
          <w:sz w:val="20"/>
        </w:rPr>
        <w:t>IV. System</w:t>
      </w:r>
    </w:p>
    <w:p>
      <w:pPr>
        <w:spacing w:after="0"/>
        <w:ind w:firstLine="288"/>
        <w:jc w:val="both"/>
      </w:pPr>
      <w:r>
        <w:rPr>
          <w:rFonts w:ascii="Times New Roman" w:hAnsi="Times New Roman"/>
          <w:sz w:val="20"/>
        </w:rPr>
        <w:t>Figure 1 shows the pipeline. Passages and queries receive identical normalization: NFC, Devanagari-to-ASCII digits, and danda-aware sentence splitting. Queries are classified as English, Indic or Code-Mixed by script ratio and a lexicon of Hindi function words split into unambiguous and ambiguous markers (</w:t>
      </w:r>
      <w:r>
        <w:rPr>
          <w:rFonts w:ascii="Times New Roman" w:hAnsi="Times New Roman"/>
          <w:i/>
          <w:sz w:val="20"/>
        </w:rPr>
        <w:t>is</w:t>
      </w:r>
      <w:r>
        <w:rPr>
          <w:rFonts w:ascii="Times New Roman" w:hAnsi="Times New Roman"/>
          <w:sz w:val="20"/>
        </w:rPr>
        <w:t xml:space="preserve">, </w:t>
      </w:r>
      <w:r>
        <w:rPr>
          <w:rFonts w:ascii="Times New Roman" w:hAnsi="Times New Roman"/>
          <w:i/>
          <w:sz w:val="20"/>
        </w:rPr>
        <w:t>to</w:t>
      </w:r>
      <w:r>
        <w:rPr>
          <w:rFonts w:ascii="Times New Roman" w:hAnsi="Times New Roman"/>
          <w:sz w:val="20"/>
        </w:rPr>
        <w:t xml:space="preserve"> and </w:t>
      </w:r>
      <w:r>
        <w:rPr>
          <w:rFonts w:ascii="Times New Roman" w:hAnsi="Times New Roman"/>
          <w:i/>
          <w:sz w:val="20"/>
        </w:rPr>
        <w:t>me</w:t>
      </w:r>
      <w:r>
        <w:rPr>
          <w:rFonts w:ascii="Times New Roman" w:hAnsi="Times New Roman"/>
          <w:sz w:val="20"/>
        </w:rPr>
        <w:t xml:space="preserve"> are also English words). The pipeline does not branch on the detected language.</w:t>
      </w:r>
    </w:p>
    <w:p>
      <w:pPr>
        <w:keepNext/>
        <w:spacing w:before="120" w:after="40"/>
        <w:jc w:val="center"/>
      </w:pPr>
      <w:r>
        <w:drawing>
          <wp:inline xmlns:a="http://schemas.openxmlformats.org/drawingml/2006/main" xmlns:pic="http://schemas.openxmlformats.org/drawingml/2006/picture">
            <wp:extent cx="3200400" cy="1494717"/>
            <wp:docPr id="1" name="Picture 1"/>
            <wp:cNvGraphicFramePr>
              <a:graphicFrameLocks noChangeAspect="1"/>
            </wp:cNvGraphicFramePr>
            <a:graphic>
              <a:graphicData uri="http://schemas.openxmlformats.org/drawingml/2006/picture">
                <pic:pic>
                  <pic:nvPicPr>
                    <pic:cNvPr id="0" name="fig1-pipeline.png"/>
                    <pic:cNvPicPr/>
                  </pic:nvPicPr>
                  <pic:blipFill>
                    <a:blip r:embed="rId9"/>
                    <a:stretch>
                      <a:fillRect/>
                    </a:stretch>
                  </pic:blipFill>
                  <pic:spPr>
                    <a:xfrm>
                      <a:off x="0" y="0"/>
                      <a:ext cx="3200400" cy="1494717"/>
                    </a:xfrm>
                    <a:prstGeom prst="rect"/>
                  </pic:spPr>
                </pic:pic>
              </a:graphicData>
            </a:graphic>
          </wp:inline>
        </w:drawing>
      </w:r>
    </w:p>
    <w:p>
      <w:pPr>
        <w:spacing w:after="160"/>
        <w:jc w:val="both"/>
      </w:pPr>
      <w:r>
        <w:rPr>
          <w:rFonts w:ascii="Times New Roman" w:hAnsi="Times New Roman"/>
          <w:sz w:val="16"/>
        </w:rPr>
        <w:t>Fig. 1. System pipeline. Offline: Devanagari validation, segmentation, lexical and dense indexing. Per query: language and script identification, script-aware fusion, generation constrained to the evidence, and an answerability decision.</w:t>
      </w:r>
    </w:p>
    <w:p>
      <w:pPr>
        <w:spacing w:after="0"/>
        <w:ind w:firstLine="288"/>
        <w:jc w:val="both"/>
      </w:pPr>
      <w:r>
        <w:rPr>
          <w:rFonts w:ascii="Times New Roman" w:hAnsi="Times New Roman"/>
          <w:b/>
          <w:sz w:val="20"/>
        </w:rPr>
        <w:t>Retrieval.</w:t>
      </w:r>
      <w:r>
        <w:rPr>
          <w:rFonts w:ascii="Times New Roman" w:hAnsi="Times New Roman"/>
          <w:sz w:val="20"/>
        </w:rPr>
        <w:t xml:space="preserve"> Lexically, TF-IDF and BM25 (k₁ = 1.2, b = 0.75) run over a tokenizer that dispatches per token by script. Densely, we evaluate multilingual-e5-base (the primary encoder), MiniLM-L12, LaBSE and MuRIL under both mean and CLS pooling, with exact search. IndicBERT is a gated repository and could not be evaluated.</w:t>
      </w:r>
    </w:p>
    <w:p>
      <w:pPr>
        <w:spacing w:after="0"/>
        <w:ind w:firstLine="288"/>
        <w:jc w:val="both"/>
      </w:pPr>
      <w:r>
        <w:rPr>
          <w:rFonts w:ascii="Times New Roman" w:hAnsi="Times New Roman"/>
          <w:b/>
          <w:sz w:val="20"/>
        </w:rPr>
        <w:t>Fusion.</w:t>
      </w:r>
      <w:r>
        <w:rPr>
          <w:rFonts w:ascii="Times New Roman" w:hAnsi="Times New Roman"/>
          <w:sz w:val="20"/>
        </w:rPr>
        <w:t xml:space="preserve"> Weighted fusion combines min-max normalised scores as α·lex + (1−α)·dense. RRF scores a passage d as Σᵢ 1/(k + rankᵢ(d)) with k = 60, summed over the retrievers that returned d.</w:t>
      </w:r>
    </w:p>
    <w:p>
      <w:pPr>
        <w:spacing w:after="0"/>
        <w:ind w:firstLine="288"/>
        <w:jc w:val="both"/>
      </w:pPr>
      <w:r>
        <w:rPr>
          <w:rFonts w:ascii="Times New Roman" w:hAnsi="Times New Roman"/>
          <w:b/>
          <w:sz w:val="20"/>
        </w:rPr>
        <w:t>Script-aware fusion.</w:t>
      </w:r>
      <w:r>
        <w:rPr>
          <w:rFonts w:ascii="Times New Roman" w:hAnsi="Times New Roman"/>
          <w:sz w:val="20"/>
        </w:rPr>
        <w:t xml:space="preserve"> Let E(d) be the retrievers eligible to return d, where a lexical retriever is ineligible for a passage whose script differs from the query's. We score</w:t>
      </w:r>
    </w:p>
    <w:p>
      <w:pPr>
        <w:spacing w:after="0"/>
        <w:ind w:firstLine="288"/>
        <w:jc w:val="both"/>
      </w:pPr>
      <w:r>
        <w:rPr>
          <w:rFonts w:ascii="Times New Roman" w:hAnsi="Times New Roman"/>
          <w:sz w:val="20"/>
        </w:rPr>
        <w:t>s(d) = (2 / |E(d)|) · Σᵢ 1/(k + rankᵢ(d)),</w:t>
      </w:r>
    </w:p>
    <w:p>
      <w:pPr>
        <w:spacing w:after="0"/>
        <w:ind w:firstLine="288"/>
        <w:jc w:val="both"/>
      </w:pPr>
      <w:r>
        <w:rPr>
          <w:rFonts w:ascii="Times New Roman" w:hAnsi="Times New Roman"/>
          <w:sz w:val="20"/>
        </w:rPr>
        <w:t>so a cross-script passage is judged on its dense contribution alone, scaled to the range of same-script passages, instead of being docked for a vote that was never possible. Romanized queries are Latin-script, so Devanagari passages are ineligible for their lexical vote.</w:t>
      </w:r>
    </w:p>
    <w:p>
      <w:pPr>
        <w:spacing w:after="0"/>
        <w:ind w:firstLine="288"/>
        <w:jc w:val="both"/>
      </w:pPr>
      <w:r>
        <w:rPr>
          <w:rFonts w:ascii="Times New Roman" w:hAnsi="Times New Roman"/>
          <w:b/>
          <w:sz w:val="20"/>
        </w:rPr>
        <w:t>Generation and answerability.</w:t>
      </w:r>
      <w:r>
        <w:rPr>
          <w:rFonts w:ascii="Times New Roman" w:hAnsi="Times New Roman"/>
          <w:sz w:val="20"/>
        </w:rPr>
        <w:t xml:space="preserve"> Qwen2.5-3B-Instruct (4-bit) answers from the top five passages with a cited passage identifier, or declines. Four answerability signals are compared: (1) a threshold on the top retrieval score; (4) a logistic combination of retrieval features (top score, margin, mean top-k, spread, scheme agreement); (2) the generator's own abstention; and (3) an NLI check that the cited passage entails the answer. All are fitted on dev by maximising F1 on the unanswerable class.</w:t>
      </w:r>
    </w:p>
    <w:p>
      <w:pPr>
        <w:spacing w:before="200" w:after="80"/>
        <w:jc w:val="center"/>
      </w:pPr>
      <w:r>
        <w:rPr>
          <w:rFonts w:ascii="Times New Roman" w:hAnsi="Times New Roman"/>
          <w:smallCaps/>
          <w:sz w:val="20"/>
        </w:rPr>
        <w:t>V. Experimental Setup</w:t>
      </w:r>
    </w:p>
    <w:p>
      <w:pPr>
        <w:spacing w:after="0"/>
        <w:ind w:firstLine="288"/>
        <w:jc w:val="both"/>
      </w:pPr>
      <w:r>
        <w:rPr>
          <w:rFonts w:ascii="Times New Roman" w:hAnsi="Times New Roman"/>
          <w:sz w:val="20"/>
        </w:rPr>
        <w:t xml:space="preserve">Everything runs on a 4-core CPU with 16 GB RAM and no GPU, so every figure is reproducible on commodity hardware. Retrieval is scored with Recall@5, MRR and nDCG@10 against the gold passage set; QA with Exact Match, token-F1 and </w:t>
      </w:r>
      <w:r>
        <w:rPr>
          <w:rFonts w:ascii="Times New Roman" w:hAnsi="Times New Roman"/>
          <w:b/>
          <w:sz w:val="20"/>
        </w:rPr>
        <w:t>Citation Support Rate</w:t>
      </w:r>
      <w:r>
        <w:rPr>
          <w:rFonts w:ascii="Times New Roman" w:hAnsi="Times New Roman"/>
          <w:sz w:val="20"/>
        </w:rPr>
        <w:t xml:space="preserve"> (CSR) — the share of answered questions whose answer the cited passage supports, lexically (in-order token overlap) or by entailment. Every headline figure carries a 95% percentile-bootstrap interval (1000 resamples); comparisons use a two-sided paired randomization test (10 000 trials) paired on question. Thresholds are fitted on dev; the retrieval configuration was fixed before the gold set existed; the test split is scored once.</w:t>
      </w:r>
    </w:p>
    <w:p>
      <w:pPr>
        <w:spacing w:before="200" w:after="80"/>
        <w:jc w:val="center"/>
      </w:pPr>
      <w:r>
        <w:rPr>
          <w:rFonts w:ascii="Times New Roman" w:hAnsi="Times New Roman"/>
          <w:smallCaps/>
          <w:sz w:val="20"/>
        </w:rPr>
        <w:t>VI. Results</w:t>
      </w:r>
    </w:p>
    <w:p>
      <w:pPr>
        <w:spacing w:before="200" w:after="80"/>
        <w:jc w:val="left"/>
      </w:pPr>
      <w:r>
        <w:rPr>
          <w:rFonts w:ascii="Times New Roman" w:hAnsi="Times New Roman"/>
          <w:i/>
          <w:sz w:val="20"/>
        </w:rPr>
        <w:t>A. Retrieval</w:t>
      </w:r>
    </w:p>
    <w:p>
      <w:pPr>
        <w:spacing w:after="0"/>
        <w:ind w:firstLine="288"/>
        <w:jc w:val="both"/>
      </w:pPr>
      <w:r>
        <w:rPr>
          <w:rFonts w:ascii="Times New Roman" w:hAnsi="Times New Roman"/>
          <w:b/>
          <w:sz w:val="20"/>
        </w:rPr>
        <w:t>TABLE III — Recall@5 on the test split (216 answerable questions)</w:t>
      </w:r>
    </w:p>
    <w:tbl>
      <w:tblPr>
        <w:tblStyle w:val="TableGrid"/>
        <w:tblW w:type="auto" w:w="0"/>
        <w:tblLayout w:type="autofit"/>
        <w:tblLook w:firstColumn="1" w:firstRow="1" w:lastColumn="0" w:lastRow="0" w:noHBand="0" w:noVBand="1" w:val="04A0"/>
      </w:tblPr>
      <w:tblGrid>
        <w:gridCol w:w="2088"/>
        <w:gridCol w:w="2088"/>
        <w:gridCol w:w="2088"/>
        <w:gridCol w:w="2088"/>
        <w:gridCol w:w="2088"/>
      </w:tblGrid>
      <w:tr>
        <w:tc>
          <w:tcPr>
            <w:tcW w:type="dxa" w:w="2088"/>
          </w:tcPr>
          <w:p>
            <w:pPr>
              <w:spacing w:after="0"/>
            </w:pPr>
            <w:r/>
            <w:r>
              <w:rPr>
                <w:rFonts w:ascii="Times New Roman" w:hAnsi="Times New Roman"/>
                <w:b/>
                <w:sz w:val="16"/>
              </w:rPr>
              <w:t>System</w:t>
            </w:r>
          </w:p>
        </w:tc>
        <w:tc>
          <w:tcPr>
            <w:tcW w:type="dxa" w:w="2088"/>
          </w:tcPr>
          <w:p>
            <w:pPr>
              <w:spacing w:after="0"/>
            </w:pPr>
            <w:r/>
            <w:r>
              <w:rPr>
                <w:rFonts w:ascii="Times New Roman" w:hAnsi="Times New Roman"/>
                <w:b/>
                <w:sz w:val="16"/>
              </w:rPr>
              <w:t>all [95% CI]</w:t>
            </w:r>
          </w:p>
        </w:tc>
        <w:tc>
          <w:tcPr>
            <w:tcW w:type="dxa" w:w="2088"/>
          </w:tcPr>
          <w:p>
            <w:pPr>
              <w:spacing w:after="0"/>
            </w:pPr>
            <w:r/>
            <w:r>
              <w:rPr>
                <w:rFonts w:ascii="Times New Roman" w:hAnsi="Times New Roman"/>
                <w:b/>
                <w:sz w:val="16"/>
              </w:rPr>
              <w:t>mono (83)</w:t>
            </w:r>
          </w:p>
        </w:tc>
        <w:tc>
          <w:tcPr>
            <w:tcW w:type="dxa" w:w="2088"/>
          </w:tcPr>
          <w:p>
            <w:pPr>
              <w:spacing w:after="0"/>
            </w:pPr>
            <w:r/>
            <w:r>
              <w:rPr>
                <w:rFonts w:ascii="Times New Roman" w:hAnsi="Times New Roman"/>
                <w:b/>
                <w:sz w:val="16"/>
              </w:rPr>
              <w:t>cross (62)</w:t>
            </w:r>
          </w:p>
        </w:tc>
        <w:tc>
          <w:tcPr>
            <w:tcW w:type="dxa" w:w="2088"/>
          </w:tcPr>
          <w:p>
            <w:pPr>
              <w:spacing w:after="0"/>
            </w:pPr>
            <w:r/>
            <w:r>
              <w:rPr>
                <w:rFonts w:ascii="Times New Roman" w:hAnsi="Times New Roman"/>
                <w:b/>
                <w:sz w:val="16"/>
              </w:rPr>
              <w:t>code-mix (71)</w:t>
            </w:r>
          </w:p>
        </w:tc>
      </w:tr>
      <w:tr>
        <w:tc>
          <w:tcPr>
            <w:tcW w:type="dxa" w:w="2088"/>
          </w:tcPr>
          <w:p>
            <w:pPr>
              <w:spacing w:after="0"/>
            </w:pPr>
            <w:r>
              <w:rPr>
                <w:sz w:val="16"/>
              </w:rPr>
            </w:r>
            <w:r>
              <w:rPr>
                <w:rFonts w:ascii="Times New Roman" w:hAnsi="Times New Roman"/>
                <w:sz w:val="16"/>
              </w:rPr>
              <w:t>BM25</w:t>
            </w:r>
          </w:p>
        </w:tc>
        <w:tc>
          <w:tcPr>
            <w:tcW w:type="dxa" w:w="2088"/>
          </w:tcPr>
          <w:p>
            <w:pPr>
              <w:spacing w:after="0"/>
            </w:pPr>
            <w:r>
              <w:rPr>
                <w:sz w:val="16"/>
              </w:rPr>
            </w:r>
            <w:r>
              <w:rPr>
                <w:rFonts w:ascii="Times New Roman" w:hAnsi="Times New Roman"/>
                <w:sz w:val="16"/>
              </w:rPr>
              <w:t>0.581 [0.519, 0.646]</w:t>
            </w:r>
          </w:p>
        </w:tc>
        <w:tc>
          <w:tcPr>
            <w:tcW w:type="dxa" w:w="2088"/>
          </w:tcPr>
          <w:p>
            <w:pPr>
              <w:spacing w:after="0"/>
            </w:pPr>
            <w:r>
              <w:rPr>
                <w:sz w:val="16"/>
              </w:rPr>
            </w:r>
            <w:r>
              <w:rPr>
                <w:rFonts w:ascii="Times New Roman" w:hAnsi="Times New Roman"/>
                <w:sz w:val="16"/>
              </w:rPr>
              <w:t>0.970</w:t>
            </w:r>
          </w:p>
        </w:tc>
        <w:tc>
          <w:tcPr>
            <w:tcW w:type="dxa" w:w="2088"/>
          </w:tcPr>
          <w:p>
            <w:pPr>
              <w:spacing w:after="0"/>
            </w:pPr>
            <w:r>
              <w:rPr>
                <w:sz w:val="16"/>
              </w:rPr>
            </w:r>
            <w:r>
              <w:rPr>
                <w:rFonts w:ascii="Times New Roman" w:hAnsi="Times New Roman"/>
                <w:sz w:val="16"/>
              </w:rPr>
              <w:t>0.153</w:t>
            </w:r>
          </w:p>
        </w:tc>
        <w:tc>
          <w:tcPr>
            <w:tcW w:type="dxa" w:w="2088"/>
          </w:tcPr>
          <w:p>
            <w:pPr>
              <w:spacing w:after="0"/>
            </w:pPr>
            <w:r>
              <w:rPr>
                <w:sz w:val="16"/>
              </w:rPr>
            </w:r>
            <w:r>
              <w:rPr>
                <w:rFonts w:ascii="Times New Roman" w:hAnsi="Times New Roman"/>
                <w:sz w:val="16"/>
              </w:rPr>
              <w:t>0.500</w:t>
            </w:r>
          </w:p>
        </w:tc>
      </w:tr>
      <w:tr>
        <w:tc>
          <w:tcPr>
            <w:tcW w:type="dxa" w:w="2088"/>
          </w:tcPr>
          <w:p>
            <w:pPr>
              <w:spacing w:after="0"/>
            </w:pPr>
            <w:r>
              <w:rPr>
                <w:sz w:val="16"/>
              </w:rPr>
            </w:r>
            <w:r>
              <w:rPr>
                <w:rFonts w:ascii="Times New Roman" w:hAnsi="Times New Roman"/>
                <w:sz w:val="16"/>
              </w:rPr>
              <w:t>TF-IDF</w:t>
            </w:r>
          </w:p>
        </w:tc>
        <w:tc>
          <w:tcPr>
            <w:tcW w:type="dxa" w:w="2088"/>
          </w:tcPr>
          <w:p>
            <w:pPr>
              <w:spacing w:after="0"/>
            </w:pPr>
            <w:r>
              <w:rPr>
                <w:sz w:val="16"/>
              </w:rPr>
            </w:r>
            <w:r>
              <w:rPr>
                <w:rFonts w:ascii="Times New Roman" w:hAnsi="Times New Roman"/>
                <w:sz w:val="16"/>
              </w:rPr>
              <w:t>0.593</w:t>
            </w:r>
          </w:p>
        </w:tc>
        <w:tc>
          <w:tcPr>
            <w:tcW w:type="dxa" w:w="2088"/>
          </w:tcPr>
          <w:p>
            <w:pPr>
              <w:spacing w:after="0"/>
            </w:pPr>
            <w:r>
              <w:rPr>
                <w:sz w:val="16"/>
              </w:rPr>
            </w:r>
            <w:r>
              <w:rPr>
                <w:rFonts w:ascii="Times New Roman" w:hAnsi="Times New Roman"/>
                <w:sz w:val="16"/>
              </w:rPr>
              <w:t>0.964</w:t>
            </w:r>
          </w:p>
        </w:tc>
        <w:tc>
          <w:tcPr>
            <w:tcW w:type="dxa" w:w="2088"/>
          </w:tcPr>
          <w:p>
            <w:pPr>
              <w:spacing w:after="0"/>
            </w:pPr>
            <w:r>
              <w:rPr>
                <w:sz w:val="16"/>
              </w:rPr>
            </w:r>
            <w:r>
              <w:rPr>
                <w:rFonts w:ascii="Times New Roman" w:hAnsi="Times New Roman"/>
                <w:sz w:val="16"/>
              </w:rPr>
              <w:t>0.185</w:t>
            </w:r>
          </w:p>
        </w:tc>
        <w:tc>
          <w:tcPr>
            <w:tcW w:type="dxa" w:w="2088"/>
          </w:tcPr>
          <w:p>
            <w:pPr>
              <w:spacing w:after="0"/>
            </w:pPr>
            <w:r>
              <w:rPr>
                <w:sz w:val="16"/>
              </w:rPr>
            </w:r>
            <w:r>
              <w:rPr>
                <w:rFonts w:ascii="Times New Roman" w:hAnsi="Times New Roman"/>
                <w:sz w:val="16"/>
              </w:rPr>
              <w:t>0.514</w:t>
            </w:r>
          </w:p>
        </w:tc>
      </w:tr>
      <w:tr>
        <w:tc>
          <w:tcPr>
            <w:tcW w:type="dxa" w:w="2088"/>
          </w:tcPr>
          <w:p>
            <w:pPr>
              <w:spacing w:after="0"/>
            </w:pPr>
            <w:r>
              <w:rPr>
                <w:sz w:val="16"/>
              </w:rPr>
            </w:r>
            <w:r>
              <w:rPr>
                <w:rFonts w:ascii="Times New Roman" w:hAnsi="Times New Roman"/>
                <w:sz w:val="16"/>
              </w:rPr>
              <w:t>e5-base</w:t>
            </w:r>
          </w:p>
        </w:tc>
        <w:tc>
          <w:tcPr>
            <w:tcW w:type="dxa" w:w="2088"/>
          </w:tcPr>
          <w:p>
            <w:pPr>
              <w:spacing w:after="0"/>
            </w:pPr>
            <w:r>
              <w:rPr>
                <w:sz w:val="16"/>
              </w:rPr>
            </w:r>
            <w:r>
              <w:rPr>
                <w:rFonts w:ascii="Times New Roman" w:hAnsi="Times New Roman"/>
                <w:sz w:val="16"/>
              </w:rPr>
              <w:t>0.720 [0.660, 0.775]</w:t>
            </w:r>
          </w:p>
        </w:tc>
        <w:tc>
          <w:tcPr>
            <w:tcW w:type="dxa" w:w="2088"/>
          </w:tcPr>
          <w:p>
            <w:pPr>
              <w:spacing w:after="0"/>
            </w:pPr>
            <w:r>
              <w:rPr>
                <w:sz w:val="16"/>
              </w:rPr>
            </w:r>
            <w:r>
              <w:rPr>
                <w:rFonts w:ascii="Times New Roman" w:hAnsi="Times New Roman"/>
                <w:sz w:val="16"/>
              </w:rPr>
              <w:t>0.976</w:t>
            </w:r>
          </w:p>
        </w:tc>
        <w:tc>
          <w:tcPr>
            <w:tcW w:type="dxa" w:w="2088"/>
          </w:tcPr>
          <w:p>
            <w:pPr>
              <w:spacing w:after="0"/>
            </w:pPr>
            <w:r>
              <w:rPr>
                <w:sz w:val="16"/>
              </w:rPr>
            </w:r>
            <w:r>
              <w:rPr>
                <w:rFonts w:ascii="Times New Roman" w:hAnsi="Times New Roman"/>
                <w:sz w:val="16"/>
              </w:rPr>
              <w:t>0.661</w:t>
            </w:r>
          </w:p>
        </w:tc>
        <w:tc>
          <w:tcPr>
            <w:tcW w:type="dxa" w:w="2088"/>
          </w:tcPr>
          <w:p>
            <w:pPr>
              <w:spacing w:after="0"/>
            </w:pPr>
            <w:r>
              <w:rPr>
                <w:sz w:val="16"/>
              </w:rPr>
            </w:r>
            <w:r>
              <w:rPr>
                <w:rFonts w:ascii="Times New Roman" w:hAnsi="Times New Roman"/>
                <w:sz w:val="16"/>
              </w:rPr>
              <w:t>0.472</w:t>
            </w:r>
          </w:p>
        </w:tc>
      </w:tr>
      <w:tr>
        <w:tc>
          <w:tcPr>
            <w:tcW w:type="dxa" w:w="2088"/>
          </w:tcPr>
          <w:p>
            <w:pPr>
              <w:spacing w:after="0"/>
            </w:pPr>
            <w:r>
              <w:rPr>
                <w:sz w:val="16"/>
              </w:rPr>
            </w:r>
            <w:r>
              <w:rPr>
                <w:rFonts w:ascii="Times New Roman" w:hAnsi="Times New Roman"/>
                <w:sz w:val="16"/>
              </w:rPr>
              <w:t>LaBSE</w:t>
            </w:r>
          </w:p>
        </w:tc>
        <w:tc>
          <w:tcPr>
            <w:tcW w:type="dxa" w:w="2088"/>
          </w:tcPr>
          <w:p>
            <w:pPr>
              <w:spacing w:after="0"/>
            </w:pPr>
            <w:r>
              <w:rPr>
                <w:sz w:val="16"/>
              </w:rPr>
            </w:r>
            <w:r>
              <w:rPr>
                <w:rFonts w:ascii="Times New Roman" w:hAnsi="Times New Roman"/>
                <w:sz w:val="16"/>
              </w:rPr>
              <w:t>0.485</w:t>
            </w:r>
          </w:p>
        </w:tc>
        <w:tc>
          <w:tcPr>
            <w:tcW w:type="dxa" w:w="2088"/>
          </w:tcPr>
          <w:p>
            <w:pPr>
              <w:spacing w:after="0"/>
            </w:pPr>
            <w:r>
              <w:rPr>
                <w:sz w:val="16"/>
              </w:rPr>
            </w:r>
            <w:r>
              <w:rPr>
                <w:rFonts w:ascii="Times New Roman" w:hAnsi="Times New Roman"/>
                <w:sz w:val="16"/>
              </w:rPr>
              <w:t>0.655</w:t>
            </w:r>
          </w:p>
        </w:tc>
        <w:tc>
          <w:tcPr>
            <w:tcW w:type="dxa" w:w="2088"/>
          </w:tcPr>
          <w:p>
            <w:pPr>
              <w:spacing w:after="0"/>
            </w:pPr>
            <w:r>
              <w:rPr>
                <w:sz w:val="16"/>
              </w:rPr>
            </w:r>
            <w:r>
              <w:rPr>
                <w:rFonts w:ascii="Times New Roman" w:hAnsi="Times New Roman"/>
                <w:sz w:val="16"/>
              </w:rPr>
              <w:t>0.540</w:t>
            </w:r>
          </w:p>
        </w:tc>
        <w:tc>
          <w:tcPr>
            <w:tcW w:type="dxa" w:w="2088"/>
          </w:tcPr>
          <w:p>
            <w:pPr>
              <w:spacing w:after="0"/>
            </w:pPr>
            <w:r>
              <w:rPr>
                <w:sz w:val="16"/>
              </w:rPr>
            </w:r>
            <w:r>
              <w:rPr>
                <w:rFonts w:ascii="Times New Roman" w:hAnsi="Times New Roman"/>
                <w:sz w:val="16"/>
              </w:rPr>
              <w:t>0.239</w:t>
            </w:r>
          </w:p>
        </w:tc>
      </w:tr>
      <w:tr>
        <w:tc>
          <w:tcPr>
            <w:tcW w:type="dxa" w:w="2088"/>
          </w:tcPr>
          <w:p>
            <w:pPr>
              <w:spacing w:after="0"/>
            </w:pPr>
            <w:r>
              <w:rPr>
                <w:sz w:val="16"/>
              </w:rPr>
            </w:r>
            <w:r>
              <w:rPr>
                <w:rFonts w:ascii="Times New Roman" w:hAnsi="Times New Roman"/>
                <w:sz w:val="16"/>
              </w:rPr>
              <w:t>MiniLM-L12</w:t>
            </w:r>
          </w:p>
        </w:tc>
        <w:tc>
          <w:tcPr>
            <w:tcW w:type="dxa" w:w="2088"/>
          </w:tcPr>
          <w:p>
            <w:pPr>
              <w:spacing w:after="0"/>
            </w:pPr>
            <w:r>
              <w:rPr>
                <w:sz w:val="16"/>
              </w:rPr>
            </w:r>
            <w:r>
              <w:rPr>
                <w:rFonts w:ascii="Times New Roman" w:hAnsi="Times New Roman"/>
                <w:sz w:val="16"/>
              </w:rPr>
              <w:t>0.478</w:t>
            </w:r>
          </w:p>
        </w:tc>
        <w:tc>
          <w:tcPr>
            <w:tcW w:type="dxa" w:w="2088"/>
          </w:tcPr>
          <w:p>
            <w:pPr>
              <w:spacing w:after="0"/>
            </w:pPr>
            <w:r>
              <w:rPr>
                <w:sz w:val="16"/>
              </w:rPr>
            </w:r>
            <w:r>
              <w:rPr>
                <w:rFonts w:ascii="Times New Roman" w:hAnsi="Times New Roman"/>
                <w:sz w:val="16"/>
              </w:rPr>
              <w:t>0.624</w:t>
            </w:r>
          </w:p>
        </w:tc>
        <w:tc>
          <w:tcPr>
            <w:tcW w:type="dxa" w:w="2088"/>
          </w:tcPr>
          <w:p>
            <w:pPr>
              <w:spacing w:after="0"/>
            </w:pPr>
            <w:r>
              <w:rPr>
                <w:sz w:val="16"/>
              </w:rPr>
            </w:r>
            <w:r>
              <w:rPr>
                <w:rFonts w:ascii="Times New Roman" w:hAnsi="Times New Roman"/>
                <w:sz w:val="16"/>
              </w:rPr>
              <w:t>0.605</w:t>
            </w:r>
          </w:p>
        </w:tc>
        <w:tc>
          <w:tcPr>
            <w:tcW w:type="dxa" w:w="2088"/>
          </w:tcPr>
          <w:p>
            <w:pPr>
              <w:spacing w:after="0"/>
            </w:pPr>
            <w:r>
              <w:rPr>
                <w:sz w:val="16"/>
              </w:rPr>
            </w:r>
            <w:r>
              <w:rPr>
                <w:rFonts w:ascii="Times New Roman" w:hAnsi="Times New Roman"/>
                <w:sz w:val="16"/>
              </w:rPr>
              <w:t>0.195</w:t>
            </w:r>
          </w:p>
        </w:tc>
      </w:tr>
      <w:tr>
        <w:tc>
          <w:tcPr>
            <w:tcW w:type="dxa" w:w="2088"/>
          </w:tcPr>
          <w:p>
            <w:pPr>
              <w:spacing w:after="0"/>
            </w:pPr>
            <w:r>
              <w:rPr>
                <w:sz w:val="16"/>
              </w:rPr>
            </w:r>
            <w:r>
              <w:rPr>
                <w:rFonts w:ascii="Times New Roman" w:hAnsi="Times New Roman"/>
                <w:sz w:val="16"/>
              </w:rPr>
              <w:t>MuRIL (mean)</w:t>
            </w:r>
          </w:p>
        </w:tc>
        <w:tc>
          <w:tcPr>
            <w:tcW w:type="dxa" w:w="2088"/>
          </w:tcPr>
          <w:p>
            <w:pPr>
              <w:spacing w:after="0"/>
            </w:pPr>
            <w:r>
              <w:rPr>
                <w:sz w:val="16"/>
              </w:rPr>
            </w:r>
            <w:r>
              <w:rPr>
                <w:rFonts w:ascii="Times New Roman" w:hAnsi="Times New Roman"/>
                <w:sz w:val="16"/>
              </w:rPr>
              <w:t>0.265</w:t>
            </w:r>
          </w:p>
        </w:tc>
        <w:tc>
          <w:tcPr>
            <w:tcW w:type="dxa" w:w="2088"/>
          </w:tcPr>
          <w:p>
            <w:pPr>
              <w:spacing w:after="0"/>
            </w:pPr>
            <w:r>
              <w:rPr>
                <w:sz w:val="16"/>
              </w:rPr>
            </w:r>
            <w:r>
              <w:rPr>
                <w:rFonts w:ascii="Times New Roman" w:hAnsi="Times New Roman"/>
                <w:sz w:val="16"/>
              </w:rPr>
              <w:t>0.582</w:t>
            </w:r>
          </w:p>
        </w:tc>
        <w:tc>
          <w:tcPr>
            <w:tcW w:type="dxa" w:w="2088"/>
          </w:tcPr>
          <w:p>
            <w:pPr>
              <w:spacing w:after="0"/>
            </w:pPr>
            <w:r>
              <w:rPr>
                <w:sz w:val="16"/>
              </w:rPr>
            </w:r>
            <w:r>
              <w:rPr>
                <w:rFonts w:ascii="Times New Roman" w:hAnsi="Times New Roman"/>
                <w:sz w:val="16"/>
              </w:rPr>
              <w:t>0.048</w:t>
            </w:r>
          </w:p>
        </w:tc>
        <w:tc>
          <w:tcPr>
            <w:tcW w:type="dxa" w:w="2088"/>
          </w:tcPr>
          <w:p>
            <w:pPr>
              <w:spacing w:after="0"/>
            </w:pPr>
            <w:r>
              <w:rPr>
                <w:sz w:val="16"/>
              </w:rPr>
            </w:r>
            <w:r>
              <w:rPr>
                <w:rFonts w:ascii="Times New Roman" w:hAnsi="Times New Roman"/>
                <w:sz w:val="16"/>
              </w:rPr>
              <w:t>0.082</w:t>
            </w:r>
          </w:p>
        </w:tc>
      </w:tr>
      <w:tr>
        <w:tc>
          <w:tcPr>
            <w:tcW w:type="dxa" w:w="2088"/>
          </w:tcPr>
          <w:p>
            <w:pPr>
              <w:spacing w:after="0"/>
            </w:pPr>
            <w:r>
              <w:rPr>
                <w:sz w:val="16"/>
              </w:rPr>
            </w:r>
            <w:r>
              <w:rPr>
                <w:rFonts w:ascii="Times New Roman" w:hAnsi="Times New Roman"/>
                <w:sz w:val="16"/>
              </w:rPr>
              <w:t>Weighted, α = 0.4</w:t>
            </w:r>
          </w:p>
        </w:tc>
        <w:tc>
          <w:tcPr>
            <w:tcW w:type="dxa" w:w="2088"/>
          </w:tcPr>
          <w:p>
            <w:pPr>
              <w:spacing w:after="0"/>
            </w:pPr>
            <w:r>
              <w:rPr>
                <w:sz w:val="16"/>
              </w:rPr>
            </w:r>
            <w:r>
              <w:rPr>
                <w:rFonts w:ascii="Times New Roman" w:hAnsi="Times New Roman"/>
                <w:sz w:val="16"/>
              </w:rPr>
              <w:t>0.688</w:t>
            </w:r>
          </w:p>
        </w:tc>
        <w:tc>
          <w:tcPr>
            <w:tcW w:type="dxa" w:w="2088"/>
          </w:tcPr>
          <w:p>
            <w:pPr>
              <w:spacing w:after="0"/>
            </w:pPr>
            <w:r>
              <w:rPr>
                <w:sz w:val="16"/>
              </w:rPr>
            </w:r>
            <w:r>
              <w:rPr>
                <w:rFonts w:ascii="Times New Roman" w:hAnsi="Times New Roman"/>
                <w:sz w:val="16"/>
              </w:rPr>
              <w:t>0.976</w:t>
            </w:r>
          </w:p>
        </w:tc>
        <w:tc>
          <w:tcPr>
            <w:tcW w:type="dxa" w:w="2088"/>
          </w:tcPr>
          <w:p>
            <w:pPr>
              <w:spacing w:after="0"/>
            </w:pPr>
            <w:r>
              <w:rPr>
                <w:sz w:val="16"/>
              </w:rPr>
            </w:r>
            <w:r>
              <w:rPr>
                <w:rFonts w:ascii="Times New Roman" w:hAnsi="Times New Roman"/>
                <w:sz w:val="16"/>
              </w:rPr>
              <w:t>0.484</w:t>
            </w:r>
          </w:p>
        </w:tc>
        <w:tc>
          <w:tcPr>
            <w:tcW w:type="dxa" w:w="2088"/>
          </w:tcPr>
          <w:p>
            <w:pPr>
              <w:spacing w:after="0"/>
            </w:pPr>
            <w:r>
              <w:rPr>
                <w:sz w:val="16"/>
              </w:rPr>
            </w:r>
            <w:r>
              <w:rPr>
                <w:rFonts w:ascii="Times New Roman" w:hAnsi="Times New Roman"/>
                <w:sz w:val="16"/>
              </w:rPr>
              <w:t>0.528</w:t>
            </w:r>
          </w:p>
        </w:tc>
      </w:tr>
      <w:tr>
        <w:tc>
          <w:tcPr>
            <w:tcW w:type="dxa" w:w="2088"/>
          </w:tcPr>
          <w:p>
            <w:pPr>
              <w:spacing w:after="0"/>
            </w:pPr>
            <w:r>
              <w:rPr>
                <w:sz w:val="16"/>
              </w:rPr>
            </w:r>
            <w:r>
              <w:rPr>
                <w:rFonts w:ascii="Times New Roman" w:hAnsi="Times New Roman"/>
                <w:sz w:val="16"/>
              </w:rPr>
              <w:t>Plain RRF</w:t>
            </w:r>
          </w:p>
        </w:tc>
        <w:tc>
          <w:tcPr>
            <w:tcW w:type="dxa" w:w="2088"/>
          </w:tcPr>
          <w:p>
            <w:pPr>
              <w:spacing w:after="0"/>
            </w:pPr>
            <w:r>
              <w:rPr>
                <w:sz w:val="16"/>
              </w:rPr>
            </w:r>
            <w:r>
              <w:rPr>
                <w:rFonts w:ascii="Times New Roman" w:hAnsi="Times New Roman"/>
                <w:sz w:val="16"/>
              </w:rPr>
              <w:t>0.618 [0.556, 0.681]</w:t>
            </w:r>
          </w:p>
        </w:tc>
        <w:tc>
          <w:tcPr>
            <w:tcW w:type="dxa" w:w="2088"/>
          </w:tcPr>
          <w:p>
            <w:pPr>
              <w:spacing w:after="0"/>
            </w:pPr>
            <w:r>
              <w:rPr>
                <w:sz w:val="16"/>
              </w:rPr>
            </w:r>
            <w:r>
              <w:rPr>
                <w:rFonts w:ascii="Times New Roman" w:hAnsi="Times New Roman"/>
                <w:sz w:val="16"/>
              </w:rPr>
              <w:t>0.964</w:t>
            </w:r>
          </w:p>
        </w:tc>
        <w:tc>
          <w:tcPr>
            <w:tcW w:type="dxa" w:w="2088"/>
          </w:tcPr>
          <w:p>
            <w:pPr>
              <w:spacing w:after="0"/>
            </w:pPr>
            <w:r>
              <w:rPr>
                <w:sz w:val="16"/>
              </w:rPr>
            </w:r>
            <w:r>
              <w:rPr>
                <w:rFonts w:ascii="Times New Roman" w:hAnsi="Times New Roman"/>
                <w:sz w:val="16"/>
              </w:rPr>
              <w:t>0.274</w:t>
            </w:r>
          </w:p>
        </w:tc>
        <w:tc>
          <w:tcPr>
            <w:tcW w:type="dxa" w:w="2088"/>
          </w:tcPr>
          <w:p>
            <w:pPr>
              <w:spacing w:after="0"/>
            </w:pPr>
            <w:r>
              <w:rPr>
                <w:sz w:val="16"/>
              </w:rPr>
            </w:r>
            <w:r>
              <w:rPr>
                <w:rFonts w:ascii="Times New Roman" w:hAnsi="Times New Roman"/>
                <w:sz w:val="16"/>
              </w:rPr>
              <w:t>0.514</w:t>
            </w:r>
          </w:p>
        </w:tc>
      </w:tr>
      <w:tr>
        <w:tc>
          <w:tcPr>
            <w:tcW w:type="dxa" w:w="2088"/>
          </w:tcPr>
          <w:p>
            <w:pPr>
              <w:spacing w:after="0"/>
            </w:pPr>
            <w:r>
              <w:rPr>
                <w:sz w:val="16"/>
              </w:rPr>
            </w:r>
            <w:r>
              <w:rPr>
                <w:rFonts w:ascii="Times New Roman" w:hAnsi="Times New Roman"/>
                <w:b/>
                <w:sz w:val="16"/>
              </w:rPr>
              <w:t>Script-aware RRF</w:t>
            </w:r>
          </w:p>
        </w:tc>
        <w:tc>
          <w:tcPr>
            <w:tcW w:type="dxa" w:w="2088"/>
          </w:tcPr>
          <w:p>
            <w:pPr>
              <w:spacing w:after="0"/>
            </w:pPr>
            <w:r>
              <w:rPr>
                <w:sz w:val="16"/>
              </w:rPr>
            </w:r>
            <w:r>
              <w:rPr>
                <w:rFonts w:ascii="Times New Roman" w:hAnsi="Times New Roman"/>
                <w:b/>
                <w:sz w:val="16"/>
              </w:rPr>
              <w:t>0.750</w:t>
            </w:r>
            <w:r>
              <w:rPr>
                <w:rFonts w:ascii="Times New Roman" w:hAnsi="Times New Roman"/>
                <w:sz w:val="16"/>
              </w:rPr>
              <w:t xml:space="preserve"> [0.692, 0.806]</w:t>
            </w:r>
          </w:p>
        </w:tc>
        <w:tc>
          <w:tcPr>
            <w:tcW w:type="dxa" w:w="2088"/>
          </w:tcPr>
          <w:p>
            <w:pPr>
              <w:spacing w:after="0"/>
            </w:pPr>
            <w:r>
              <w:rPr>
                <w:sz w:val="16"/>
              </w:rPr>
            </w:r>
            <w:r>
              <w:rPr>
                <w:rFonts w:ascii="Times New Roman" w:hAnsi="Times New Roman"/>
                <w:sz w:val="16"/>
              </w:rPr>
              <w:t>0.964</w:t>
            </w:r>
          </w:p>
        </w:tc>
        <w:tc>
          <w:tcPr>
            <w:tcW w:type="dxa" w:w="2088"/>
          </w:tcPr>
          <w:p>
            <w:pPr>
              <w:spacing w:after="0"/>
            </w:pPr>
            <w:r>
              <w:rPr>
                <w:sz w:val="16"/>
              </w:rPr>
            </w:r>
            <w:r>
              <w:rPr>
                <w:rFonts w:ascii="Times New Roman" w:hAnsi="Times New Roman"/>
                <w:b/>
                <w:sz w:val="16"/>
              </w:rPr>
              <w:t>0.685</w:t>
            </w:r>
          </w:p>
        </w:tc>
        <w:tc>
          <w:tcPr>
            <w:tcW w:type="dxa" w:w="2088"/>
          </w:tcPr>
          <w:p>
            <w:pPr>
              <w:spacing w:after="0"/>
            </w:pPr>
            <w:r>
              <w:rPr>
                <w:sz w:val="16"/>
              </w:rPr>
            </w:r>
            <w:r>
              <w:rPr>
                <w:rFonts w:ascii="Times New Roman" w:hAnsi="Times New Roman"/>
                <w:b/>
                <w:sz w:val="16"/>
              </w:rPr>
              <w:t>0.556</w:t>
            </w:r>
          </w:p>
        </w:tc>
      </w:tr>
    </w:tbl>
    <w:p>
      <w:pPr>
        <w:spacing w:after="40"/>
      </w:pPr>
    </w:p>
    <w:p>
      <w:pPr>
        <w:spacing w:after="0"/>
        <w:ind w:firstLine="288"/>
        <w:jc w:val="both"/>
      </w:pPr>
      <w:r>
        <w:rPr>
          <w:rFonts w:ascii="Times New Roman" w:hAnsi="Times New Roman"/>
          <w:b/>
          <w:sz w:val="20"/>
        </w:rPr>
        <w:t>Lexical retrieval does not cross scripts</w:t>
      </w:r>
      <w:r>
        <w:rPr>
          <w:rFonts w:ascii="Times New Roman" w:hAnsi="Times New Roman"/>
          <w:sz w:val="20"/>
        </w:rPr>
        <w:t xml:space="preserve"> (Fig. 2): BM25 scores 0.970 monolingual and 0.153 cross-lingual. e5-base is the best single retriever, +0.139 over BM25 overall (p = 0.0001). </w:t>
      </w:r>
      <w:r>
        <w:rPr>
          <w:rFonts w:ascii="Times New Roman" w:hAnsi="Times New Roman"/>
          <w:b/>
          <w:sz w:val="20"/>
        </w:rPr>
        <w:t>MuRIL</w:t>
      </w:r>
      <w:r>
        <w:rPr>
          <w:rFonts w:ascii="Times New Roman" w:hAnsi="Times New Roman"/>
          <w:sz w:val="20"/>
        </w:rPr>
        <w:t>, pretrained on Indic text but not for retrieval, reaches 0.048 cross-lingual under its better pooling: pretraining-language coverage does not substitute for retrieval training.</w:t>
      </w:r>
    </w:p>
    <w:p>
      <w:pPr>
        <w:keepNext/>
        <w:spacing w:before="120" w:after="40"/>
        <w:jc w:val="center"/>
      </w:pPr>
      <w:r>
        <w:drawing>
          <wp:inline xmlns:a="http://schemas.openxmlformats.org/drawingml/2006/main" xmlns:pic="http://schemas.openxmlformats.org/drawingml/2006/picture">
            <wp:extent cx="3200400" cy="1436014"/>
            <wp:docPr id="2" name="Picture 2"/>
            <wp:cNvGraphicFramePr>
              <a:graphicFrameLocks noChangeAspect="1"/>
            </wp:cNvGraphicFramePr>
            <a:graphic>
              <a:graphicData uri="http://schemas.openxmlformats.org/drawingml/2006/picture">
                <pic:pic>
                  <pic:nvPicPr>
                    <pic:cNvPr id="0" name="fig2-by-language-group.png"/>
                    <pic:cNvPicPr/>
                  </pic:nvPicPr>
                  <pic:blipFill>
                    <a:blip r:embed="rId10"/>
                    <a:stretch>
                      <a:fillRect/>
                    </a:stretch>
                  </pic:blipFill>
                  <pic:spPr>
                    <a:xfrm>
                      <a:off x="0" y="0"/>
                      <a:ext cx="3200400" cy="1436014"/>
                    </a:xfrm>
                    <a:prstGeom prst="rect"/>
                  </pic:spPr>
                </pic:pic>
              </a:graphicData>
            </a:graphic>
          </wp:inline>
        </w:drawing>
      </w:r>
    </w:p>
    <w:p>
      <w:pPr>
        <w:spacing w:after="160"/>
        <w:jc w:val="both"/>
      </w:pPr>
      <w:r>
        <w:rPr>
          <w:rFonts w:ascii="Times New Roman" w:hAnsi="Times New Roman"/>
          <w:sz w:val="16"/>
        </w:rPr>
        <w:t>Fig. 2. Recall@5 by language group on the test split. Lexical retrieval collapses across the script boundary; MuRIL barely crosses it.</w:t>
      </w:r>
    </w:p>
    <w:p>
      <w:pPr>
        <w:spacing w:after="0"/>
        <w:ind w:firstLine="288"/>
        <w:jc w:val="both"/>
      </w:pPr>
      <w:r>
        <w:rPr>
          <w:rFonts w:ascii="Times New Roman" w:hAnsi="Times New Roman"/>
          <w:b/>
          <w:sz w:val="20"/>
        </w:rPr>
        <w:t>Plain fusion destroys the dense retriever's cross-lingual recall, and script-aware fusion restores it</w:t>
      </w:r>
      <w:r>
        <w:rPr>
          <w:rFonts w:ascii="Times New Roman" w:hAnsi="Times New Roman"/>
          <w:sz w:val="20"/>
        </w:rPr>
        <w:t xml:space="preserve"> (Fig. 3). Against plain RRF, script-aware fusion gains +0.411 cross-lingual (p = 0.0001, n = 62) and +0.132 overall (p = 0.0001), at no monolingual cost (0.964 against 0.964).</w:t>
      </w:r>
    </w:p>
    <w:p>
      <w:pPr>
        <w:spacing w:after="0"/>
        <w:ind w:firstLine="288"/>
        <w:jc w:val="both"/>
      </w:pPr>
      <w:r>
        <w:rPr>
          <w:rFonts w:ascii="Times New Roman" w:hAnsi="Times New Roman"/>
          <w:b/>
          <w:sz w:val="20"/>
        </w:rPr>
        <w:t>Against dense retrieval alone the gain is small.</w:t>
      </w:r>
      <w:r>
        <w:rPr>
          <w:rFonts w:ascii="Times New Roman" w:hAnsi="Times New Roman"/>
          <w:sz w:val="20"/>
        </w:rPr>
        <w:t xml:space="preserve"> Script-aware fusion is +0.030 over e5-base overall (p = 0.052) and +0.024 cross-lingual (p = 0.62); the only significant gain is on code-mixed queries, +0.085 (p = 0.004), where Romanized questions carry English scheme names the lexical retriever can match. Weighted fusion never beats pure dense at any α (best α = 0.1 ties α = 0 at 0.720), so H2 in its weighted form is not supported. The correction improves every encoder it is applied over (dev and test pooled: e5 +0.028, MiniLM +0.162, LaBSE +0.085), more for weaker ones, as a change of arithmetic rather than of representation predicts.</w:t>
      </w:r>
    </w:p>
    <w:p>
      <w:pPr>
        <w:keepNext/>
        <w:spacing w:before="120" w:after="40"/>
        <w:jc w:val="center"/>
      </w:pPr>
      <w:r>
        <w:drawing>
          <wp:inline xmlns:a="http://schemas.openxmlformats.org/drawingml/2006/main" xmlns:pic="http://schemas.openxmlformats.org/drawingml/2006/picture">
            <wp:extent cx="3200400" cy="1495330"/>
            <wp:docPr id="3" name="Picture 3"/>
            <wp:cNvGraphicFramePr>
              <a:graphicFrameLocks noChangeAspect="1"/>
            </wp:cNvGraphicFramePr>
            <a:graphic>
              <a:graphicData uri="http://schemas.openxmlformats.org/drawingml/2006/picture">
                <pic:pic>
                  <pic:nvPicPr>
                    <pic:cNvPr id="0" name="fig3-fusion-goldset.png"/>
                    <pic:cNvPicPr/>
                  </pic:nvPicPr>
                  <pic:blipFill>
                    <a:blip r:embed="rId11"/>
                    <a:stretch>
                      <a:fillRect/>
                    </a:stretch>
                  </pic:blipFill>
                  <pic:spPr>
                    <a:xfrm>
                      <a:off x="0" y="0"/>
                      <a:ext cx="3200400" cy="1495330"/>
                    </a:xfrm>
                    <a:prstGeom prst="rect"/>
                  </pic:spPr>
                </pic:pic>
              </a:graphicData>
            </a:graphic>
          </wp:inline>
        </w:drawing>
      </w:r>
    </w:p>
    <w:p>
      <w:pPr>
        <w:spacing w:after="160"/>
        <w:jc w:val="both"/>
      </w:pPr>
      <w:r>
        <w:rPr>
          <w:rFonts w:ascii="Times New Roman" w:hAnsi="Times New Roman"/>
          <w:sz w:val="16"/>
        </w:rPr>
        <w:t>Fig. 3. Script-aware fusion on the test split against plain RRF (the repair) and dense retrieval alone (whether fusing is worth it), with paired p-values.</w:t>
      </w:r>
    </w:p>
    <w:p>
      <w:pPr>
        <w:spacing w:after="0"/>
        <w:ind w:firstLine="288"/>
        <w:jc w:val="both"/>
      </w:pPr>
      <w:r>
        <w:rPr>
          <w:rFonts w:ascii="Times New Roman" w:hAnsi="Times New Roman"/>
          <w:sz w:val="20"/>
        </w:rPr>
        <w:t>We read this as a narrower claim than the unverified questions suggested, where script-aware fusion beat dense alone by +0.133 cross-lingually: standard fusion does harm across scripts, the correction removes it, and over a strong multilingual dense retriever fusing adds little outside code-mixed queries.</w:t>
      </w:r>
    </w:p>
    <w:p>
      <w:pPr>
        <w:spacing w:before="200" w:after="80"/>
        <w:jc w:val="left"/>
      </w:pPr>
      <w:r>
        <w:rPr>
          <w:rFonts w:ascii="Times New Roman" w:hAnsi="Times New Roman"/>
          <w:i/>
          <w:sz w:val="20"/>
        </w:rPr>
        <w:t>B. Direct LLM against RAG</w:t>
      </w:r>
    </w:p>
    <w:p>
      <w:pPr>
        <w:spacing w:after="0"/>
        <w:ind w:firstLine="288"/>
        <w:jc w:val="both"/>
      </w:pPr>
      <w:r>
        <w:rPr>
          <w:rFonts w:ascii="Times New Roman" w:hAnsi="Times New Roman"/>
          <w:sz w:val="20"/>
        </w:rPr>
        <w:t xml:space="preserve">Four arms share one generator and differ only in evidence: </w:t>
      </w:r>
      <w:r>
        <w:rPr>
          <w:rFonts w:ascii="Times New Roman" w:hAnsi="Times New Roman"/>
          <w:b/>
          <w:sz w:val="20"/>
        </w:rPr>
        <w:t>A</w:t>
      </w:r>
      <w:r>
        <w:rPr>
          <w:rFonts w:ascii="Times New Roman" w:hAnsi="Times New Roman"/>
          <w:sz w:val="20"/>
        </w:rPr>
        <w:t xml:space="preserve"> closed-book, </w:t>
      </w:r>
      <w:r>
        <w:rPr>
          <w:rFonts w:ascii="Times New Roman" w:hAnsi="Times New Roman"/>
          <w:b/>
          <w:sz w:val="20"/>
        </w:rPr>
        <w:t>B</w:t>
      </w:r>
      <w:r>
        <w:rPr>
          <w:rFonts w:ascii="Times New Roman" w:hAnsi="Times New Roman"/>
          <w:sz w:val="20"/>
        </w:rPr>
        <w:t xml:space="preserve"> dense RAG, </w:t>
      </w:r>
      <w:r>
        <w:rPr>
          <w:rFonts w:ascii="Times New Roman" w:hAnsi="Times New Roman"/>
          <w:b/>
          <w:sz w:val="20"/>
        </w:rPr>
        <w:t>C</w:t>
      </w:r>
      <w:r>
        <w:rPr>
          <w:rFonts w:ascii="Times New Roman" w:hAnsi="Times New Roman"/>
          <w:sz w:val="20"/>
        </w:rPr>
        <w:t xml:space="preserve"> script-aware RAG, </w:t>
      </w:r>
      <w:r>
        <w:rPr>
          <w:rFonts w:ascii="Times New Roman" w:hAnsi="Times New Roman"/>
          <w:b/>
          <w:sz w:val="20"/>
        </w:rPr>
        <w:t>D</w:t>
      </w:r>
      <w:r>
        <w:rPr>
          <w:rFonts w:ascii="Times New Roman" w:hAnsi="Times New Roman"/>
          <w:sz w:val="20"/>
        </w:rPr>
        <w:t xml:space="preserve"> an oracle given the gold passage. We run them on a 72-item stratified sample of the test split.</w:t>
      </w:r>
    </w:p>
    <w:p>
      <w:pPr>
        <w:spacing w:after="0"/>
        <w:ind w:firstLine="288"/>
        <w:jc w:val="both"/>
      </w:pPr>
      <w:r>
        <w:rPr>
          <w:rFonts w:ascii="Times New Roman" w:hAnsi="Times New Roman"/>
          <w:b/>
          <w:sz w:val="20"/>
        </w:rPr>
        <w:t>TABLE IV — Question answering, 72 test questions per arm</w:t>
      </w:r>
    </w:p>
    <w:tbl>
      <w:tblPr>
        <w:tblStyle w:val="TableGrid"/>
        <w:tblW w:type="auto" w:w="0"/>
        <w:tblLayout w:type="autofit"/>
        <w:tblLook w:firstColumn="1" w:firstRow="1" w:lastColumn="0" w:lastRow="0" w:noHBand="0" w:noVBand="1" w:val="04A0"/>
      </w:tblPr>
      <w:tblGrid>
        <w:gridCol w:w="2088"/>
        <w:gridCol w:w="2088"/>
        <w:gridCol w:w="2088"/>
        <w:gridCol w:w="2088"/>
        <w:gridCol w:w="2088"/>
      </w:tblGrid>
      <w:tr>
        <w:tc>
          <w:tcPr>
            <w:tcW w:type="dxa" w:w="2088"/>
          </w:tcPr>
          <w:p>
            <w:pPr>
              <w:spacing w:after="0"/>
            </w:pPr>
            <w:r/>
            <w:r>
              <w:rPr>
                <w:rFonts w:ascii="Times New Roman" w:hAnsi="Times New Roman"/>
                <w:b/>
                <w:sz w:val="16"/>
              </w:rPr>
              <w:t>Arm</w:t>
            </w:r>
          </w:p>
        </w:tc>
        <w:tc>
          <w:tcPr>
            <w:tcW w:type="dxa" w:w="2088"/>
          </w:tcPr>
          <w:p>
            <w:pPr>
              <w:spacing w:after="0"/>
            </w:pPr>
            <w:r/>
            <w:r>
              <w:rPr>
                <w:rFonts w:ascii="Times New Roman" w:hAnsi="Times New Roman"/>
                <w:b/>
                <w:sz w:val="16"/>
              </w:rPr>
              <w:t>token-F1 [95% CI]</w:t>
            </w:r>
          </w:p>
        </w:tc>
        <w:tc>
          <w:tcPr>
            <w:tcW w:type="dxa" w:w="2088"/>
          </w:tcPr>
          <w:p>
            <w:pPr>
              <w:spacing w:after="0"/>
            </w:pPr>
            <w:r/>
            <w:r>
              <w:rPr>
                <w:rFonts w:ascii="Times New Roman" w:hAnsi="Times New Roman"/>
                <w:b/>
                <w:sz w:val="16"/>
              </w:rPr>
              <w:t>abstains</w:t>
            </w:r>
          </w:p>
        </w:tc>
        <w:tc>
          <w:tcPr>
            <w:tcW w:type="dxa" w:w="2088"/>
          </w:tcPr>
          <w:p>
            <w:pPr>
              <w:spacing w:after="0"/>
            </w:pPr>
            <w:r/>
            <w:r>
              <w:rPr>
                <w:rFonts w:ascii="Times New Roman" w:hAnsi="Times New Roman"/>
                <w:b/>
                <w:sz w:val="16"/>
              </w:rPr>
              <w:t>CSR (lex)</w:t>
            </w:r>
          </w:p>
        </w:tc>
        <w:tc>
          <w:tcPr>
            <w:tcW w:type="dxa" w:w="2088"/>
          </w:tcPr>
          <w:p>
            <w:pPr>
              <w:spacing w:after="0"/>
            </w:pPr>
            <w:r/>
            <w:r>
              <w:rPr>
                <w:rFonts w:ascii="Times New Roman" w:hAnsi="Times New Roman"/>
                <w:b/>
                <w:sz w:val="16"/>
              </w:rPr>
              <w:t>CSR (NLI)</w:t>
            </w:r>
          </w:p>
        </w:tc>
      </w:tr>
      <w:tr>
        <w:tc>
          <w:tcPr>
            <w:tcW w:type="dxa" w:w="2088"/>
          </w:tcPr>
          <w:p>
            <w:pPr>
              <w:spacing w:after="0"/>
            </w:pPr>
            <w:r>
              <w:rPr>
                <w:sz w:val="16"/>
              </w:rPr>
            </w:r>
            <w:r>
              <w:rPr>
                <w:rFonts w:ascii="Times New Roman" w:hAnsi="Times New Roman"/>
                <w:sz w:val="16"/>
              </w:rPr>
              <w:t>A closed-book</w:t>
            </w:r>
          </w:p>
        </w:tc>
        <w:tc>
          <w:tcPr>
            <w:tcW w:type="dxa" w:w="2088"/>
          </w:tcPr>
          <w:p>
            <w:pPr>
              <w:spacing w:after="0"/>
            </w:pPr>
            <w:r>
              <w:rPr>
                <w:sz w:val="16"/>
              </w:rPr>
            </w:r>
            <w:r>
              <w:rPr>
                <w:rFonts w:ascii="Times New Roman" w:hAnsi="Times New Roman"/>
                <w:sz w:val="16"/>
              </w:rPr>
              <w:t>0.050 [0.032, 0.070]</w:t>
            </w:r>
          </w:p>
        </w:tc>
        <w:tc>
          <w:tcPr>
            <w:tcW w:type="dxa" w:w="2088"/>
          </w:tcPr>
          <w:p>
            <w:pPr>
              <w:spacing w:after="0"/>
            </w:pPr>
            <w:r>
              <w:rPr>
                <w:sz w:val="16"/>
              </w:rPr>
            </w:r>
            <w:r>
              <w:rPr>
                <w:rFonts w:ascii="Times New Roman" w:hAnsi="Times New Roman"/>
                <w:sz w:val="16"/>
              </w:rPr>
              <w:t>0.319</w:t>
            </w:r>
          </w:p>
        </w:tc>
        <w:tc>
          <w:tcPr>
            <w:tcW w:type="dxa" w:w="2088"/>
          </w:tcPr>
          <w:p>
            <w:pPr>
              <w:spacing w:after="0"/>
            </w:pPr>
            <w:r>
              <w:rPr>
                <w:sz w:val="16"/>
              </w:rPr>
            </w:r>
            <w:r>
              <w:rPr>
                <w:rFonts w:ascii="Times New Roman" w:hAnsi="Times New Roman"/>
                <w:sz w:val="16"/>
              </w:rPr>
              <w:t>0.184</w:t>
            </w:r>
          </w:p>
        </w:tc>
        <w:tc>
          <w:tcPr>
            <w:tcW w:type="dxa" w:w="2088"/>
          </w:tcPr>
          <w:p>
            <w:pPr>
              <w:spacing w:after="0"/>
            </w:pPr>
            <w:r>
              <w:rPr>
                <w:sz w:val="16"/>
              </w:rPr>
            </w:r>
            <w:r>
              <w:rPr>
                <w:rFonts w:ascii="Times New Roman" w:hAnsi="Times New Roman"/>
                <w:sz w:val="16"/>
              </w:rPr>
              <w:t>0.245</w:t>
            </w:r>
          </w:p>
        </w:tc>
      </w:tr>
      <w:tr>
        <w:tc>
          <w:tcPr>
            <w:tcW w:type="dxa" w:w="2088"/>
          </w:tcPr>
          <w:p>
            <w:pPr>
              <w:spacing w:after="0"/>
            </w:pPr>
            <w:r>
              <w:rPr>
                <w:sz w:val="16"/>
              </w:rPr>
            </w:r>
            <w:r>
              <w:rPr>
                <w:rFonts w:ascii="Times New Roman" w:hAnsi="Times New Roman"/>
                <w:sz w:val="16"/>
              </w:rPr>
              <w:t>B RAG-dense</w:t>
            </w:r>
          </w:p>
        </w:tc>
        <w:tc>
          <w:tcPr>
            <w:tcW w:type="dxa" w:w="2088"/>
          </w:tcPr>
          <w:p>
            <w:pPr>
              <w:spacing w:after="0"/>
            </w:pPr>
            <w:r>
              <w:rPr>
                <w:sz w:val="16"/>
              </w:rPr>
            </w:r>
            <w:r>
              <w:rPr>
                <w:rFonts w:ascii="Times New Roman" w:hAnsi="Times New Roman"/>
                <w:b/>
                <w:sz w:val="16"/>
              </w:rPr>
              <w:t>0.446</w:t>
            </w:r>
            <w:r>
              <w:rPr>
                <w:rFonts w:ascii="Times New Roman" w:hAnsi="Times New Roman"/>
                <w:sz w:val="16"/>
              </w:rPr>
              <w:t xml:space="preserve"> [0.351, 0.545]</w:t>
            </w:r>
          </w:p>
        </w:tc>
        <w:tc>
          <w:tcPr>
            <w:tcW w:type="dxa" w:w="2088"/>
          </w:tcPr>
          <w:p>
            <w:pPr>
              <w:spacing w:after="0"/>
            </w:pPr>
            <w:r>
              <w:rPr>
                <w:sz w:val="16"/>
              </w:rPr>
            </w:r>
            <w:r>
              <w:rPr>
                <w:rFonts w:ascii="Times New Roman" w:hAnsi="Times New Roman"/>
                <w:sz w:val="16"/>
              </w:rPr>
              <w:t>0.250</w:t>
            </w:r>
          </w:p>
        </w:tc>
        <w:tc>
          <w:tcPr>
            <w:tcW w:type="dxa" w:w="2088"/>
          </w:tcPr>
          <w:p>
            <w:pPr>
              <w:spacing w:after="0"/>
            </w:pPr>
            <w:r>
              <w:rPr>
                <w:sz w:val="16"/>
              </w:rPr>
            </w:r>
            <w:r>
              <w:rPr>
                <w:rFonts w:ascii="Times New Roman" w:hAnsi="Times New Roman"/>
                <w:b/>
                <w:sz w:val="16"/>
              </w:rPr>
              <w:t>0.870</w:t>
            </w:r>
          </w:p>
        </w:tc>
        <w:tc>
          <w:tcPr>
            <w:tcW w:type="dxa" w:w="2088"/>
          </w:tcPr>
          <w:p>
            <w:pPr>
              <w:spacing w:after="0"/>
            </w:pPr>
            <w:r>
              <w:rPr>
                <w:sz w:val="16"/>
              </w:rPr>
            </w:r>
            <w:r>
              <w:rPr>
                <w:rFonts w:ascii="Times New Roman" w:hAnsi="Times New Roman"/>
                <w:sz w:val="16"/>
              </w:rPr>
              <w:t>0.667</w:t>
            </w:r>
          </w:p>
        </w:tc>
      </w:tr>
      <w:tr>
        <w:tc>
          <w:tcPr>
            <w:tcW w:type="dxa" w:w="2088"/>
          </w:tcPr>
          <w:p>
            <w:pPr>
              <w:spacing w:after="0"/>
            </w:pPr>
            <w:r>
              <w:rPr>
                <w:sz w:val="16"/>
              </w:rPr>
            </w:r>
            <w:r>
              <w:rPr>
                <w:rFonts w:ascii="Times New Roman" w:hAnsi="Times New Roman"/>
                <w:sz w:val="16"/>
              </w:rPr>
              <w:t>C RAG-hybrid</w:t>
            </w:r>
          </w:p>
        </w:tc>
        <w:tc>
          <w:tcPr>
            <w:tcW w:type="dxa" w:w="2088"/>
          </w:tcPr>
          <w:p>
            <w:pPr>
              <w:spacing w:after="0"/>
            </w:pPr>
            <w:r>
              <w:rPr>
                <w:sz w:val="16"/>
              </w:rPr>
            </w:r>
            <w:r>
              <w:rPr>
                <w:rFonts w:ascii="Times New Roman" w:hAnsi="Times New Roman"/>
                <w:sz w:val="16"/>
              </w:rPr>
              <w:t>0.418 [0.323, 0.517]</w:t>
            </w:r>
          </w:p>
        </w:tc>
        <w:tc>
          <w:tcPr>
            <w:tcW w:type="dxa" w:w="2088"/>
          </w:tcPr>
          <w:p>
            <w:pPr>
              <w:spacing w:after="0"/>
            </w:pPr>
            <w:r>
              <w:rPr>
                <w:sz w:val="16"/>
              </w:rPr>
            </w:r>
            <w:r>
              <w:rPr>
                <w:rFonts w:ascii="Times New Roman" w:hAnsi="Times New Roman"/>
                <w:sz w:val="16"/>
              </w:rPr>
              <w:t>0.208</w:t>
            </w:r>
          </w:p>
        </w:tc>
        <w:tc>
          <w:tcPr>
            <w:tcW w:type="dxa" w:w="2088"/>
          </w:tcPr>
          <w:p>
            <w:pPr>
              <w:spacing w:after="0"/>
            </w:pPr>
            <w:r>
              <w:rPr>
                <w:sz w:val="16"/>
              </w:rPr>
            </w:r>
            <w:r>
              <w:rPr>
                <w:rFonts w:ascii="Times New Roman" w:hAnsi="Times New Roman"/>
                <w:sz w:val="16"/>
              </w:rPr>
              <w:t>0.860</w:t>
            </w:r>
          </w:p>
        </w:tc>
        <w:tc>
          <w:tcPr>
            <w:tcW w:type="dxa" w:w="2088"/>
          </w:tcPr>
          <w:p>
            <w:pPr>
              <w:spacing w:after="0"/>
            </w:pPr>
            <w:r>
              <w:rPr>
                <w:sz w:val="16"/>
              </w:rPr>
            </w:r>
            <w:r>
              <w:rPr>
                <w:rFonts w:ascii="Times New Roman" w:hAnsi="Times New Roman"/>
                <w:sz w:val="16"/>
              </w:rPr>
              <w:t>0.526</w:t>
            </w:r>
          </w:p>
        </w:tc>
      </w:tr>
      <w:tr>
        <w:tc>
          <w:tcPr>
            <w:tcW w:type="dxa" w:w="2088"/>
          </w:tcPr>
          <w:p>
            <w:pPr>
              <w:spacing w:after="0"/>
            </w:pPr>
            <w:r>
              <w:rPr>
                <w:sz w:val="16"/>
              </w:rPr>
            </w:r>
            <w:r>
              <w:rPr>
                <w:rFonts w:ascii="Times New Roman" w:hAnsi="Times New Roman"/>
                <w:sz w:val="16"/>
              </w:rPr>
              <w:t>D oracle</w:t>
            </w:r>
          </w:p>
        </w:tc>
        <w:tc>
          <w:tcPr>
            <w:tcW w:type="dxa" w:w="2088"/>
          </w:tcPr>
          <w:p>
            <w:pPr>
              <w:spacing w:after="0"/>
            </w:pPr>
            <w:r>
              <w:rPr>
                <w:sz w:val="16"/>
              </w:rPr>
            </w:r>
            <w:r>
              <w:rPr>
                <w:rFonts w:ascii="Times New Roman" w:hAnsi="Times New Roman"/>
                <w:sz w:val="16"/>
              </w:rPr>
              <w:t>0.641 [0.548, 0.731]</w:t>
            </w:r>
          </w:p>
        </w:tc>
        <w:tc>
          <w:tcPr>
            <w:tcW w:type="dxa" w:w="2088"/>
          </w:tcPr>
          <w:p>
            <w:pPr>
              <w:spacing w:after="0"/>
            </w:pPr>
            <w:r>
              <w:rPr>
                <w:sz w:val="16"/>
              </w:rPr>
            </w:r>
            <w:r>
              <w:rPr>
                <w:rFonts w:ascii="Times New Roman" w:hAnsi="Times New Roman"/>
                <w:sz w:val="16"/>
              </w:rPr>
              <w:t>0.083</w:t>
            </w:r>
          </w:p>
        </w:tc>
        <w:tc>
          <w:tcPr>
            <w:tcW w:type="dxa" w:w="2088"/>
          </w:tcPr>
          <w:p>
            <w:pPr>
              <w:spacing w:after="0"/>
            </w:pPr>
            <w:r>
              <w:rPr>
                <w:sz w:val="16"/>
              </w:rPr>
            </w:r>
            <w:r>
              <w:rPr>
                <w:rFonts w:ascii="Times New Roman" w:hAnsi="Times New Roman"/>
                <w:sz w:val="16"/>
              </w:rPr>
              <w:t>0.985</w:t>
            </w:r>
          </w:p>
        </w:tc>
        <w:tc>
          <w:tcPr>
            <w:tcW w:type="dxa" w:w="2088"/>
          </w:tcPr>
          <w:p>
            <w:pPr>
              <w:spacing w:after="0"/>
            </w:pPr>
            <w:r>
              <w:rPr>
                <w:sz w:val="16"/>
              </w:rPr>
            </w:r>
            <w:r>
              <w:rPr>
                <w:rFonts w:ascii="Times New Roman" w:hAnsi="Times New Roman"/>
                <w:sz w:val="16"/>
              </w:rPr>
              <w:t>0.667</w:t>
            </w:r>
          </w:p>
        </w:tc>
      </w:tr>
    </w:tbl>
    <w:p>
      <w:pPr>
        <w:spacing w:after="40"/>
      </w:pPr>
    </w:p>
    <w:p>
      <w:pPr>
        <w:spacing w:after="0"/>
        <w:ind w:firstLine="288"/>
        <w:jc w:val="both"/>
      </w:pPr>
      <w:r>
        <w:rPr>
          <w:rFonts w:ascii="Times New Roman" w:hAnsi="Times New Roman"/>
          <w:b/>
          <w:sz w:val="20"/>
        </w:rPr>
        <w:t>Retrieval makes answers groundable</w:t>
      </w:r>
      <w:r>
        <w:rPr>
          <w:rFonts w:ascii="Times New Roman" w:hAnsi="Times New Roman"/>
          <w:sz w:val="20"/>
        </w:rPr>
        <w:t xml:space="preserve"> (Fig. 4). CSR rises from 0.184 closed-book to 0.870 with dense retrieval, +0.684 paired over the 38 questions both answered (p = 0.0001). The closed-book arm answers 49 of 72 questions, and fewer than one in five of those answers is supported; when it names a source at all, the source does not exist.</w:t>
      </w:r>
    </w:p>
    <w:p>
      <w:pPr>
        <w:spacing w:after="0"/>
        <w:ind w:firstLine="288"/>
        <w:jc w:val="both"/>
      </w:pPr>
      <w:r>
        <w:rPr>
          <w:rFonts w:ascii="Times New Roman" w:hAnsi="Times New Roman"/>
          <w:b/>
          <w:sz w:val="20"/>
        </w:rPr>
        <w:t>The choice of retriever does not reach the answers.</w:t>
      </w:r>
      <w:r>
        <w:rPr>
          <w:rFonts w:ascii="Times New Roman" w:hAnsi="Times New Roman"/>
          <w:sz w:val="20"/>
        </w:rPr>
        <w:t xml:space="preserve"> Arm C against B is −0.027 token-F1 (p = 0.55) and +0.000 CSR (p = 1.00). The sample holds 24 code-mixed questions, too few to carry a retrieval gain of +0.085 through a generator.</w:t>
      </w:r>
    </w:p>
    <w:p>
      <w:pPr>
        <w:spacing w:after="0"/>
        <w:ind w:firstLine="288"/>
        <w:jc w:val="both"/>
      </w:pPr>
      <w:r>
        <w:rPr>
          <w:rFonts w:ascii="Times New Roman" w:hAnsi="Times New Roman"/>
          <w:b/>
          <w:sz w:val="20"/>
        </w:rPr>
        <w:t>Both components lose comparable amounts.</w:t>
      </w:r>
      <w:r>
        <w:rPr>
          <w:rFonts w:ascii="Times New Roman" w:hAnsi="Times New Roman"/>
          <w:sz w:val="20"/>
        </w:rPr>
        <w:t xml:space="preserve"> The oracle decomposes the remaining error into retrieval error (D − C) of 0.223 and generation error (1 − D) of 0.359, and the retrieval headroom is significant (p = 0.0002). On the unverified items it was 0.597 against 0.193; we cannot separate how much of that change is verification and how much the sample, but the practical reading moved from "fix the generator" to "both matter".</w:t>
      </w:r>
    </w:p>
    <w:p>
      <w:pPr>
        <w:keepNext/>
        <w:spacing w:before="120" w:after="40"/>
        <w:jc w:val="center"/>
      </w:pPr>
      <w:r>
        <w:drawing>
          <wp:inline xmlns:a="http://schemas.openxmlformats.org/drawingml/2006/main" xmlns:pic="http://schemas.openxmlformats.org/drawingml/2006/picture">
            <wp:extent cx="3200400" cy="1529718"/>
            <wp:docPr id="4" name="Picture 4"/>
            <wp:cNvGraphicFramePr>
              <a:graphicFrameLocks noChangeAspect="1"/>
            </wp:cNvGraphicFramePr>
            <a:graphic>
              <a:graphicData uri="http://schemas.openxmlformats.org/drawingml/2006/picture">
                <pic:pic>
                  <pic:nvPicPr>
                    <pic:cNvPr id="0" name="fig6-citation-support.png"/>
                    <pic:cNvPicPr/>
                  </pic:nvPicPr>
                  <pic:blipFill>
                    <a:blip r:embed="rId12"/>
                    <a:stretch>
                      <a:fillRect/>
                    </a:stretch>
                  </pic:blipFill>
                  <pic:spPr>
                    <a:xfrm>
                      <a:off x="0" y="0"/>
                      <a:ext cx="3200400" cy="1529718"/>
                    </a:xfrm>
                    <a:prstGeom prst="rect"/>
                  </pic:spPr>
                </pic:pic>
              </a:graphicData>
            </a:graphic>
          </wp:inline>
        </w:drawing>
      </w:r>
    </w:p>
    <w:p>
      <w:pPr>
        <w:spacing w:after="160"/>
        <w:jc w:val="both"/>
      </w:pPr>
      <w:r>
        <w:rPr>
          <w:rFonts w:ascii="Times New Roman" w:hAnsi="Times New Roman"/>
          <w:sz w:val="16"/>
        </w:rPr>
        <w:t>Fig. 4. Module 4 on the test split: token-F1 and Citation Support Rate, lexical and entailment variants, per arm, with the number of questions each answered.</w:t>
      </w:r>
    </w:p>
    <w:p>
      <w:pPr>
        <w:spacing w:before="200" w:after="80"/>
        <w:jc w:val="left"/>
      </w:pPr>
      <w:r>
        <w:rPr>
          <w:rFonts w:ascii="Times New Roman" w:hAnsi="Times New Roman"/>
          <w:i/>
          <w:sz w:val="20"/>
        </w:rPr>
        <w:t>C. Answerability</w:t>
      </w:r>
    </w:p>
    <w:p>
      <w:pPr>
        <w:spacing w:after="0"/>
        <w:ind w:firstLine="288"/>
        <w:jc w:val="both"/>
      </w:pPr>
      <w:r>
        <w:rPr>
          <w:rFonts w:ascii="Times New Roman" w:hAnsi="Times New Roman"/>
          <w:b/>
          <w:sz w:val="20"/>
        </w:rPr>
        <w:t>TABLE V — Threshold and calibrated signals on the test split (273 items, 57 unanswerable)</w:t>
      </w:r>
    </w:p>
    <w:tbl>
      <w:tblPr>
        <w:tblStyle w:val="TableGrid"/>
        <w:tblW w:type="auto" w:w="0"/>
        <w:tblLayout w:type="autofit"/>
        <w:tblLook w:firstColumn="1" w:firstRow="1" w:lastColumn="0" w:lastRow="0" w:noHBand="0" w:noVBand="1" w:val="04A0"/>
      </w:tblPr>
      <w:tblGrid>
        <w:gridCol w:w="1740"/>
        <w:gridCol w:w="1740"/>
        <w:gridCol w:w="1740"/>
        <w:gridCol w:w="1740"/>
        <w:gridCol w:w="1740"/>
        <w:gridCol w:w="1740"/>
      </w:tblGrid>
      <w:tr>
        <w:tc>
          <w:tcPr>
            <w:tcW w:type="dxa" w:w="1740"/>
          </w:tcPr>
          <w:p>
            <w:pPr>
              <w:spacing w:after="0"/>
            </w:pPr>
            <w:r/>
            <w:r>
              <w:rPr>
                <w:rFonts w:ascii="Times New Roman" w:hAnsi="Times New Roman"/>
                <w:b/>
                <w:sz w:val="16"/>
              </w:rPr>
              <w:t>Signal</w:t>
            </w:r>
          </w:p>
        </w:tc>
        <w:tc>
          <w:tcPr>
            <w:tcW w:type="dxa" w:w="1740"/>
          </w:tcPr>
          <w:p>
            <w:pPr>
              <w:spacing w:after="0"/>
            </w:pPr>
            <w:r/>
            <w:r>
              <w:rPr>
                <w:rFonts w:ascii="Times New Roman" w:hAnsi="Times New Roman"/>
                <w:b/>
                <w:sz w:val="16"/>
              </w:rPr>
              <w:t>score</w:t>
            </w:r>
          </w:p>
        </w:tc>
        <w:tc>
          <w:tcPr>
            <w:tcW w:type="dxa" w:w="1740"/>
          </w:tcPr>
          <w:p>
            <w:pPr>
              <w:spacing w:after="0"/>
            </w:pPr>
            <w:r/>
            <w:r>
              <w:rPr>
                <w:rFonts w:ascii="Times New Roman" w:hAnsi="Times New Roman"/>
                <w:b/>
                <w:sz w:val="16"/>
              </w:rPr>
              <w:t>F1 (UNANS)</w:t>
            </w:r>
          </w:p>
        </w:tc>
        <w:tc>
          <w:tcPr>
            <w:tcW w:type="dxa" w:w="1740"/>
          </w:tcPr>
          <w:p>
            <w:pPr>
              <w:spacing w:after="0"/>
            </w:pPr>
            <w:r/>
            <w:r>
              <w:rPr>
                <w:rFonts w:ascii="Times New Roman" w:hAnsi="Times New Roman"/>
                <w:b/>
                <w:sz w:val="16"/>
              </w:rPr>
              <w:t>precision</w:t>
            </w:r>
          </w:p>
        </w:tc>
        <w:tc>
          <w:tcPr>
            <w:tcW w:type="dxa" w:w="1740"/>
          </w:tcPr>
          <w:p>
            <w:pPr>
              <w:spacing w:after="0"/>
            </w:pPr>
            <w:r/>
            <w:r>
              <w:rPr>
                <w:rFonts w:ascii="Times New Roman" w:hAnsi="Times New Roman"/>
                <w:b/>
                <w:sz w:val="16"/>
              </w:rPr>
              <w:t>recall</w:t>
            </w:r>
          </w:p>
        </w:tc>
        <w:tc>
          <w:tcPr>
            <w:tcW w:type="dxa" w:w="1740"/>
          </w:tcPr>
          <w:p>
            <w:pPr>
              <w:spacing w:after="0"/>
            </w:pPr>
            <w:r/>
            <w:r>
              <w:rPr>
                <w:rFonts w:ascii="Times New Roman" w:hAnsi="Times New Roman"/>
                <w:b/>
                <w:sz w:val="16"/>
              </w:rPr>
              <w:t>abstains</w:t>
            </w:r>
          </w:p>
        </w:tc>
      </w:tr>
      <w:tr>
        <w:tc>
          <w:tcPr>
            <w:tcW w:type="dxa" w:w="1740"/>
          </w:tcPr>
          <w:p>
            <w:pPr>
              <w:spacing w:after="0"/>
            </w:pPr>
            <w:r>
              <w:rPr>
                <w:sz w:val="16"/>
              </w:rPr>
            </w:r>
            <w:r>
              <w:rPr>
                <w:rFonts w:ascii="Times New Roman" w:hAnsi="Times New Roman"/>
                <w:sz w:val="16"/>
              </w:rPr>
              <w:t>threshold</w:t>
            </w:r>
          </w:p>
        </w:tc>
        <w:tc>
          <w:tcPr>
            <w:tcW w:type="dxa" w:w="1740"/>
          </w:tcPr>
          <w:p>
            <w:pPr>
              <w:spacing w:after="0"/>
            </w:pPr>
            <w:r>
              <w:rPr>
                <w:sz w:val="16"/>
              </w:rPr>
            </w:r>
            <w:r>
              <w:rPr>
                <w:rFonts w:ascii="Times New Roman" w:hAnsi="Times New Roman"/>
                <w:sz w:val="16"/>
              </w:rPr>
              <w:t>BM25 top</w:t>
            </w:r>
          </w:p>
        </w:tc>
        <w:tc>
          <w:tcPr>
            <w:tcW w:type="dxa" w:w="1740"/>
          </w:tcPr>
          <w:p>
            <w:pPr>
              <w:spacing w:after="0"/>
            </w:pPr>
            <w:r>
              <w:rPr>
                <w:sz w:val="16"/>
              </w:rPr>
            </w:r>
            <w:r>
              <w:rPr>
                <w:rFonts w:ascii="Times New Roman" w:hAnsi="Times New Roman"/>
                <w:b/>
                <w:sz w:val="16"/>
              </w:rPr>
              <w:t>0.525</w:t>
            </w:r>
          </w:p>
        </w:tc>
        <w:tc>
          <w:tcPr>
            <w:tcW w:type="dxa" w:w="1740"/>
          </w:tcPr>
          <w:p>
            <w:pPr>
              <w:spacing w:after="0"/>
            </w:pPr>
            <w:r>
              <w:rPr>
                <w:sz w:val="16"/>
              </w:rPr>
            </w:r>
            <w:r>
              <w:rPr>
                <w:rFonts w:ascii="Times New Roman" w:hAnsi="Times New Roman"/>
                <w:sz w:val="16"/>
              </w:rPr>
              <w:t>0.408</w:t>
            </w:r>
          </w:p>
        </w:tc>
        <w:tc>
          <w:tcPr>
            <w:tcW w:type="dxa" w:w="1740"/>
          </w:tcPr>
          <w:p>
            <w:pPr>
              <w:spacing w:after="0"/>
            </w:pPr>
            <w:r>
              <w:rPr>
                <w:sz w:val="16"/>
              </w:rPr>
            </w:r>
            <w:r>
              <w:rPr>
                <w:rFonts w:ascii="Times New Roman" w:hAnsi="Times New Roman"/>
                <w:sz w:val="16"/>
              </w:rPr>
              <w:t>0.737</w:t>
            </w:r>
          </w:p>
        </w:tc>
        <w:tc>
          <w:tcPr>
            <w:tcW w:type="dxa" w:w="1740"/>
          </w:tcPr>
          <w:p>
            <w:pPr>
              <w:spacing w:after="0"/>
            </w:pPr>
            <w:r>
              <w:rPr>
                <w:sz w:val="16"/>
              </w:rPr>
            </w:r>
            <w:r>
              <w:rPr>
                <w:rFonts w:ascii="Times New Roman" w:hAnsi="Times New Roman"/>
                <w:sz w:val="16"/>
              </w:rPr>
              <w:t>38%</w:t>
            </w:r>
          </w:p>
        </w:tc>
      </w:tr>
      <w:tr>
        <w:tc>
          <w:tcPr>
            <w:tcW w:type="dxa" w:w="1740"/>
          </w:tcPr>
          <w:p>
            <w:pPr>
              <w:spacing w:after="0"/>
            </w:pPr>
            <w:r>
              <w:rPr>
                <w:sz w:val="16"/>
              </w:rPr>
            </w:r>
            <w:r>
              <w:rPr>
                <w:rFonts w:ascii="Times New Roman" w:hAnsi="Times New Roman"/>
                <w:sz w:val="16"/>
              </w:rPr>
              <w:t>calibrated</w:t>
            </w:r>
          </w:p>
        </w:tc>
        <w:tc>
          <w:tcPr>
            <w:tcW w:type="dxa" w:w="1740"/>
          </w:tcPr>
          <w:p>
            <w:pPr>
              <w:spacing w:after="0"/>
            </w:pPr>
            <w:r>
              <w:rPr>
                <w:sz w:val="16"/>
              </w:rPr>
            </w:r>
            <w:r>
              <w:rPr>
                <w:rFonts w:ascii="Times New Roman" w:hAnsi="Times New Roman"/>
                <w:sz w:val="16"/>
              </w:rPr>
              <w:t>BM25 features</w:t>
            </w:r>
          </w:p>
        </w:tc>
        <w:tc>
          <w:tcPr>
            <w:tcW w:type="dxa" w:w="1740"/>
          </w:tcPr>
          <w:p>
            <w:pPr>
              <w:spacing w:after="0"/>
            </w:pPr>
            <w:r>
              <w:rPr>
                <w:sz w:val="16"/>
              </w:rPr>
            </w:r>
            <w:r>
              <w:rPr>
                <w:rFonts w:ascii="Times New Roman" w:hAnsi="Times New Roman"/>
                <w:sz w:val="16"/>
              </w:rPr>
              <w:t>0.481</w:t>
            </w:r>
          </w:p>
        </w:tc>
        <w:tc>
          <w:tcPr>
            <w:tcW w:type="dxa" w:w="1740"/>
          </w:tcPr>
          <w:p>
            <w:pPr>
              <w:spacing w:after="0"/>
            </w:pPr>
            <w:r>
              <w:rPr>
                <w:sz w:val="16"/>
              </w:rPr>
            </w:r>
            <w:r>
              <w:rPr>
                <w:rFonts w:ascii="Times New Roman" w:hAnsi="Times New Roman"/>
                <w:sz w:val="16"/>
              </w:rPr>
              <w:t>0.431</w:t>
            </w:r>
          </w:p>
        </w:tc>
        <w:tc>
          <w:tcPr>
            <w:tcW w:type="dxa" w:w="1740"/>
          </w:tcPr>
          <w:p>
            <w:pPr>
              <w:spacing w:after="0"/>
            </w:pPr>
            <w:r>
              <w:rPr>
                <w:sz w:val="16"/>
              </w:rPr>
            </w:r>
            <w:r>
              <w:rPr>
                <w:rFonts w:ascii="Times New Roman" w:hAnsi="Times New Roman"/>
                <w:sz w:val="16"/>
              </w:rPr>
              <w:t>0.544</w:t>
            </w:r>
          </w:p>
        </w:tc>
        <w:tc>
          <w:tcPr>
            <w:tcW w:type="dxa" w:w="1740"/>
          </w:tcPr>
          <w:p>
            <w:pPr>
              <w:spacing w:after="0"/>
            </w:pPr>
            <w:r>
              <w:rPr>
                <w:sz w:val="16"/>
              </w:rPr>
            </w:r>
            <w:r>
              <w:rPr>
                <w:rFonts w:ascii="Times New Roman" w:hAnsi="Times New Roman"/>
                <w:sz w:val="16"/>
              </w:rPr>
              <w:t>26%</w:t>
            </w:r>
          </w:p>
        </w:tc>
      </w:tr>
      <w:tr>
        <w:tc>
          <w:tcPr>
            <w:tcW w:type="dxa" w:w="1740"/>
          </w:tcPr>
          <w:p>
            <w:pPr>
              <w:spacing w:after="0"/>
            </w:pPr>
            <w:r>
              <w:rPr>
                <w:sz w:val="16"/>
              </w:rPr>
            </w:r>
            <w:r>
              <w:rPr>
                <w:rFonts w:ascii="Times New Roman" w:hAnsi="Times New Roman"/>
                <w:sz w:val="16"/>
              </w:rPr>
              <w:t>threshold</w:t>
            </w:r>
          </w:p>
        </w:tc>
        <w:tc>
          <w:tcPr>
            <w:tcW w:type="dxa" w:w="1740"/>
          </w:tcPr>
          <w:p>
            <w:pPr>
              <w:spacing w:after="0"/>
            </w:pPr>
            <w:r>
              <w:rPr>
                <w:sz w:val="16"/>
              </w:rPr>
            </w:r>
            <w:r>
              <w:rPr>
                <w:rFonts w:ascii="Times New Roman" w:hAnsi="Times New Roman"/>
                <w:sz w:val="16"/>
              </w:rPr>
              <w:t>fused RRF top</w:t>
            </w:r>
          </w:p>
        </w:tc>
        <w:tc>
          <w:tcPr>
            <w:tcW w:type="dxa" w:w="1740"/>
          </w:tcPr>
          <w:p>
            <w:pPr>
              <w:spacing w:after="0"/>
            </w:pPr>
            <w:r>
              <w:rPr>
                <w:sz w:val="16"/>
              </w:rPr>
            </w:r>
            <w:r>
              <w:rPr>
                <w:rFonts w:ascii="Times New Roman" w:hAnsi="Times New Roman"/>
                <w:sz w:val="16"/>
              </w:rPr>
              <w:t>0.381</w:t>
            </w:r>
          </w:p>
        </w:tc>
        <w:tc>
          <w:tcPr>
            <w:tcW w:type="dxa" w:w="1740"/>
          </w:tcPr>
          <w:p>
            <w:pPr>
              <w:spacing w:after="0"/>
            </w:pPr>
            <w:r>
              <w:rPr>
                <w:sz w:val="16"/>
              </w:rPr>
            </w:r>
            <w:r>
              <w:rPr>
                <w:rFonts w:ascii="Times New Roman" w:hAnsi="Times New Roman"/>
                <w:sz w:val="16"/>
              </w:rPr>
              <w:t>0.240</w:t>
            </w:r>
          </w:p>
        </w:tc>
        <w:tc>
          <w:tcPr>
            <w:tcW w:type="dxa" w:w="1740"/>
          </w:tcPr>
          <w:p>
            <w:pPr>
              <w:spacing w:after="0"/>
            </w:pPr>
            <w:r>
              <w:rPr>
                <w:sz w:val="16"/>
              </w:rPr>
            </w:r>
            <w:r>
              <w:rPr>
                <w:rFonts w:ascii="Times New Roman" w:hAnsi="Times New Roman"/>
                <w:sz w:val="16"/>
              </w:rPr>
              <w:t>0.930</w:t>
            </w:r>
          </w:p>
        </w:tc>
        <w:tc>
          <w:tcPr>
            <w:tcW w:type="dxa" w:w="1740"/>
          </w:tcPr>
          <w:p>
            <w:pPr>
              <w:spacing w:after="0"/>
            </w:pPr>
            <w:r>
              <w:rPr>
                <w:sz w:val="16"/>
              </w:rPr>
            </w:r>
            <w:r>
              <w:rPr>
                <w:rFonts w:ascii="Times New Roman" w:hAnsi="Times New Roman"/>
                <w:sz w:val="16"/>
              </w:rPr>
              <w:t>81%</w:t>
            </w:r>
          </w:p>
        </w:tc>
      </w:tr>
      <w:tr>
        <w:tc>
          <w:tcPr>
            <w:tcW w:type="dxa" w:w="1740"/>
          </w:tcPr>
          <w:p>
            <w:pPr>
              <w:spacing w:after="0"/>
            </w:pPr>
            <w:r>
              <w:rPr>
                <w:sz w:val="16"/>
              </w:rPr>
            </w:r>
            <w:r>
              <w:rPr>
                <w:rFonts w:ascii="Times New Roman" w:hAnsi="Times New Roman"/>
                <w:sz w:val="16"/>
              </w:rPr>
              <w:t>calibrated</w:t>
            </w:r>
          </w:p>
        </w:tc>
        <w:tc>
          <w:tcPr>
            <w:tcW w:type="dxa" w:w="1740"/>
          </w:tcPr>
          <w:p>
            <w:pPr>
              <w:spacing w:after="0"/>
            </w:pPr>
            <w:r>
              <w:rPr>
                <w:sz w:val="16"/>
              </w:rPr>
            </w:r>
            <w:r>
              <w:rPr>
                <w:rFonts w:ascii="Times New Roman" w:hAnsi="Times New Roman"/>
                <w:sz w:val="16"/>
              </w:rPr>
              <w:t>RRF features</w:t>
            </w:r>
          </w:p>
        </w:tc>
        <w:tc>
          <w:tcPr>
            <w:tcW w:type="dxa" w:w="1740"/>
          </w:tcPr>
          <w:p>
            <w:pPr>
              <w:spacing w:after="0"/>
            </w:pPr>
            <w:r>
              <w:rPr>
                <w:sz w:val="16"/>
              </w:rPr>
            </w:r>
            <w:r>
              <w:rPr>
                <w:rFonts w:ascii="Times New Roman" w:hAnsi="Times New Roman"/>
                <w:sz w:val="16"/>
              </w:rPr>
              <w:t>0.454</w:t>
            </w:r>
          </w:p>
        </w:tc>
        <w:tc>
          <w:tcPr>
            <w:tcW w:type="dxa" w:w="1740"/>
          </w:tcPr>
          <w:p>
            <w:pPr>
              <w:spacing w:after="0"/>
            </w:pPr>
            <w:r>
              <w:rPr>
                <w:sz w:val="16"/>
              </w:rPr>
            </w:r>
            <w:r>
              <w:rPr>
                <w:rFonts w:ascii="Times New Roman" w:hAnsi="Times New Roman"/>
                <w:sz w:val="16"/>
              </w:rPr>
              <w:t>0.435</w:t>
            </w:r>
          </w:p>
        </w:tc>
        <w:tc>
          <w:tcPr>
            <w:tcW w:type="dxa" w:w="1740"/>
          </w:tcPr>
          <w:p>
            <w:pPr>
              <w:spacing w:after="0"/>
            </w:pPr>
            <w:r>
              <w:rPr>
                <w:sz w:val="16"/>
              </w:rPr>
            </w:r>
            <w:r>
              <w:rPr>
                <w:rFonts w:ascii="Times New Roman" w:hAnsi="Times New Roman"/>
                <w:sz w:val="16"/>
              </w:rPr>
              <w:t>0.474</w:t>
            </w:r>
          </w:p>
        </w:tc>
        <w:tc>
          <w:tcPr>
            <w:tcW w:type="dxa" w:w="1740"/>
          </w:tcPr>
          <w:p>
            <w:pPr>
              <w:spacing w:after="0"/>
            </w:pPr>
            <w:r>
              <w:rPr>
                <w:sz w:val="16"/>
              </w:rPr>
            </w:r>
            <w:r>
              <w:rPr>
                <w:rFonts w:ascii="Times New Roman" w:hAnsi="Times New Roman"/>
                <w:sz w:val="16"/>
              </w:rPr>
              <w:t>23%</w:t>
            </w:r>
          </w:p>
        </w:tc>
      </w:tr>
    </w:tbl>
    <w:p>
      <w:pPr>
        <w:spacing w:after="40"/>
      </w:pPr>
    </w:p>
    <w:p>
      <w:pPr>
        <w:spacing w:after="0"/>
        <w:ind w:firstLine="288"/>
        <w:jc w:val="both"/>
      </w:pPr>
      <w:r>
        <w:rPr>
          <w:rFonts w:ascii="Times New Roman" w:hAnsi="Times New Roman"/>
          <w:b/>
          <w:sz w:val="20"/>
        </w:rPr>
        <w:t>The lexical score separates the classes; the fused score does not.</w:t>
      </w:r>
      <w:r>
        <w:rPr>
          <w:rFonts w:ascii="Times New Roman" w:hAnsi="Times New Roman"/>
          <w:sz w:val="20"/>
        </w:rPr>
        <w:t xml:space="preserve"> Under BM25 the median top score is 25.5 for answerable questions and 13.8 for unanswerable ones (AUC 0.791, Fig. 5). Under script-aware RRF it is 0.0328 against 0.0325: rank fusion discards magnitudes. A BM25 threshold fitted on dev catches every out-of-scope test question but only 0.522 of near-misses, whose passages are genuinely about the right scheme.</w:t>
      </w:r>
    </w:p>
    <w:p>
      <w:pPr>
        <w:keepNext/>
        <w:spacing w:before="120" w:after="40"/>
        <w:jc w:val="center"/>
      </w:pPr>
      <w:r>
        <w:drawing>
          <wp:inline xmlns:a="http://schemas.openxmlformats.org/drawingml/2006/main" xmlns:pic="http://schemas.openxmlformats.org/drawingml/2006/picture">
            <wp:extent cx="3200400" cy="1753565"/>
            <wp:docPr id="5" name="Picture 5"/>
            <wp:cNvGraphicFramePr>
              <a:graphicFrameLocks noChangeAspect="1"/>
            </wp:cNvGraphicFramePr>
            <a:graphic>
              <a:graphicData uri="http://schemas.openxmlformats.org/drawingml/2006/picture">
                <pic:pic>
                  <pic:nvPicPr>
                    <pic:cNvPr id="0" name="fig7-answerability-sweep.png"/>
                    <pic:cNvPicPr/>
                  </pic:nvPicPr>
                  <pic:blipFill>
                    <a:blip r:embed="rId13"/>
                    <a:stretch>
                      <a:fillRect/>
                    </a:stretch>
                  </pic:blipFill>
                  <pic:spPr>
                    <a:xfrm>
                      <a:off x="0" y="0"/>
                      <a:ext cx="3200400" cy="1753565"/>
                    </a:xfrm>
                    <a:prstGeom prst="rect"/>
                  </pic:spPr>
                </pic:pic>
              </a:graphicData>
            </a:graphic>
          </wp:inline>
        </w:drawing>
      </w:r>
    </w:p>
    <w:p>
      <w:pPr>
        <w:spacing w:after="160"/>
        <w:jc w:val="both"/>
      </w:pPr>
      <w:r>
        <w:rPr>
          <w:rFonts w:ascii="Times New Roman" w:hAnsi="Times New Roman"/>
          <w:sz w:val="16"/>
        </w:rPr>
        <w:t>Fig. 5. BM25 top-score threshold swept over all 393 verified items. Precision rises well above the 0.204 base rate; the best F1 is reached at 35% abstention.</w:t>
      </w:r>
    </w:p>
    <w:p>
      <w:pPr>
        <w:spacing w:after="0"/>
        <w:ind w:firstLine="288"/>
        <w:jc w:val="both"/>
      </w:pPr>
      <w:r>
        <w:rPr>
          <w:rFonts w:ascii="Times New Roman" w:hAnsi="Times New Roman"/>
          <w:b/>
          <w:sz w:val="20"/>
        </w:rPr>
        <w:t>Only the generator can see a missing fact.</w:t>
      </w:r>
      <w:r>
        <w:rPr>
          <w:rFonts w:ascii="Times New Roman" w:hAnsi="Times New Roman"/>
          <w:sz w:val="20"/>
        </w:rPr>
        <w:t xml:space="preserve"> On a 120-item sample enriched to hold every unanswerable item, reporting on its 85 test-split items (57 unanswerable), the four signals compare as follows:</w:t>
      </w:r>
    </w:p>
    <w:p>
      <w:pPr>
        <w:spacing w:after="0"/>
        <w:ind w:firstLine="288"/>
        <w:jc w:val="both"/>
      </w:pPr>
      <w:r>
        <w:rPr>
          <w:rFonts w:ascii="Times New Roman" w:hAnsi="Times New Roman"/>
          <w:b/>
          <w:sz w:val="20"/>
        </w:rPr>
        <w:t>TABLE VI — Four signals, 85 held-out items (enriched sample)</w:t>
      </w:r>
    </w:p>
    <w:tbl>
      <w:tblPr>
        <w:tblStyle w:val="TableGrid"/>
        <w:tblW w:type="auto" w:w="0"/>
        <w:tblLayout w:type="autofit"/>
        <w:tblLook w:firstColumn="1" w:firstRow="1" w:lastColumn="0" w:lastRow="0" w:noHBand="0" w:noVBand="1" w:val="04A0"/>
      </w:tblPr>
      <w:tblGrid>
        <w:gridCol w:w="2088"/>
        <w:gridCol w:w="2088"/>
        <w:gridCol w:w="2088"/>
        <w:gridCol w:w="2088"/>
        <w:gridCol w:w="2088"/>
      </w:tblGrid>
      <w:tr>
        <w:tc>
          <w:tcPr>
            <w:tcW w:type="dxa" w:w="2088"/>
          </w:tcPr>
          <w:p>
            <w:pPr>
              <w:spacing w:after="0"/>
            </w:pPr>
            <w:r/>
            <w:r>
              <w:rPr>
                <w:rFonts w:ascii="Times New Roman" w:hAnsi="Times New Roman"/>
                <w:b/>
                <w:sz w:val="16"/>
              </w:rPr>
              <w:t>Signal</w:t>
            </w:r>
          </w:p>
        </w:tc>
        <w:tc>
          <w:tcPr>
            <w:tcW w:type="dxa" w:w="2088"/>
          </w:tcPr>
          <w:p>
            <w:pPr>
              <w:spacing w:after="0"/>
            </w:pPr>
            <w:r/>
            <w:r>
              <w:rPr>
                <w:rFonts w:ascii="Times New Roman" w:hAnsi="Times New Roman"/>
                <w:b/>
                <w:sz w:val="16"/>
              </w:rPr>
              <w:t>F1</w:t>
            </w:r>
          </w:p>
        </w:tc>
        <w:tc>
          <w:tcPr>
            <w:tcW w:type="dxa" w:w="2088"/>
          </w:tcPr>
          <w:p>
            <w:pPr>
              <w:spacing w:after="0"/>
            </w:pPr>
            <w:r/>
            <w:r>
              <w:rPr>
                <w:rFonts w:ascii="Times New Roman" w:hAnsi="Times New Roman"/>
                <w:b/>
                <w:sz w:val="16"/>
              </w:rPr>
              <w:t>unanswerable caught</w:t>
            </w:r>
          </w:p>
        </w:tc>
        <w:tc>
          <w:tcPr>
            <w:tcW w:type="dxa" w:w="2088"/>
          </w:tcPr>
          <w:p>
            <w:pPr>
              <w:spacing w:after="0"/>
            </w:pPr>
            <w:r/>
            <w:r>
              <w:rPr>
                <w:rFonts w:ascii="Times New Roman" w:hAnsi="Times New Roman"/>
                <w:b/>
                <w:sz w:val="16"/>
              </w:rPr>
              <w:t>answerable answered</w:t>
            </w:r>
          </w:p>
        </w:tc>
        <w:tc>
          <w:tcPr>
            <w:tcW w:type="dxa" w:w="2088"/>
          </w:tcPr>
          <w:p>
            <w:pPr>
              <w:spacing w:after="0"/>
            </w:pPr>
            <w:r/>
            <w:r>
              <w:rPr>
                <w:rFonts w:ascii="Times New Roman" w:hAnsi="Times New Roman"/>
                <w:b/>
                <w:sz w:val="16"/>
              </w:rPr>
              <w:t>near-miss</w:t>
            </w:r>
          </w:p>
        </w:tc>
      </w:tr>
      <w:tr>
        <w:tc>
          <w:tcPr>
            <w:tcW w:type="dxa" w:w="2088"/>
          </w:tcPr>
          <w:p>
            <w:pPr>
              <w:spacing w:after="0"/>
            </w:pPr>
            <w:r>
              <w:rPr>
                <w:sz w:val="16"/>
              </w:rPr>
            </w:r>
            <w:r>
              <w:rPr>
                <w:rFonts w:ascii="Times New Roman" w:hAnsi="Times New Roman"/>
                <w:sz w:val="16"/>
              </w:rPr>
              <w:t>1. threshold (fused)</w:t>
            </w:r>
          </w:p>
        </w:tc>
        <w:tc>
          <w:tcPr>
            <w:tcW w:type="dxa" w:w="2088"/>
          </w:tcPr>
          <w:p>
            <w:pPr>
              <w:spacing w:after="0"/>
            </w:pPr>
            <w:r>
              <w:rPr>
                <w:sz w:val="16"/>
              </w:rPr>
            </w:r>
            <w:r>
              <w:rPr>
                <w:rFonts w:ascii="Times New Roman" w:hAnsi="Times New Roman"/>
                <w:sz w:val="16"/>
              </w:rPr>
              <w:t>0.779</w:t>
            </w:r>
          </w:p>
        </w:tc>
        <w:tc>
          <w:tcPr>
            <w:tcW w:type="dxa" w:w="2088"/>
          </w:tcPr>
          <w:p>
            <w:pPr>
              <w:spacing w:after="0"/>
            </w:pPr>
            <w:r>
              <w:rPr>
                <w:sz w:val="16"/>
              </w:rPr>
            </w:r>
            <w:r>
              <w:rPr>
                <w:rFonts w:ascii="Times New Roman" w:hAnsi="Times New Roman"/>
                <w:sz w:val="16"/>
              </w:rPr>
              <w:t>53 / 57</w:t>
            </w:r>
          </w:p>
        </w:tc>
        <w:tc>
          <w:tcPr>
            <w:tcW w:type="dxa" w:w="2088"/>
          </w:tcPr>
          <w:p>
            <w:pPr>
              <w:spacing w:after="0"/>
            </w:pPr>
            <w:r>
              <w:rPr>
                <w:sz w:val="16"/>
              </w:rPr>
            </w:r>
            <w:r>
              <w:rPr>
                <w:rFonts w:ascii="Times New Roman" w:hAnsi="Times New Roman"/>
                <w:sz w:val="16"/>
              </w:rPr>
              <w:t>2 / 28</w:t>
            </w:r>
          </w:p>
        </w:tc>
        <w:tc>
          <w:tcPr>
            <w:tcW w:type="dxa" w:w="2088"/>
          </w:tcPr>
          <w:p>
            <w:pPr>
              <w:spacing w:after="0"/>
            </w:pPr>
            <w:r>
              <w:rPr>
                <w:sz w:val="16"/>
              </w:rPr>
            </w:r>
            <w:r>
              <w:rPr>
                <w:rFonts w:ascii="Times New Roman" w:hAnsi="Times New Roman"/>
                <w:sz w:val="16"/>
              </w:rPr>
              <w:t>0.913</w:t>
            </w:r>
          </w:p>
        </w:tc>
      </w:tr>
      <w:tr>
        <w:tc>
          <w:tcPr>
            <w:tcW w:type="dxa" w:w="2088"/>
          </w:tcPr>
          <w:p>
            <w:pPr>
              <w:spacing w:after="0"/>
            </w:pPr>
            <w:r>
              <w:rPr>
                <w:sz w:val="16"/>
              </w:rPr>
            </w:r>
            <w:r>
              <w:rPr>
                <w:rFonts w:ascii="Times New Roman" w:hAnsi="Times New Roman"/>
                <w:sz w:val="16"/>
              </w:rPr>
              <w:t>4. calibrated</w:t>
            </w:r>
          </w:p>
        </w:tc>
        <w:tc>
          <w:tcPr>
            <w:tcW w:type="dxa" w:w="2088"/>
          </w:tcPr>
          <w:p>
            <w:pPr>
              <w:spacing w:after="0"/>
            </w:pPr>
            <w:r>
              <w:rPr>
                <w:sz w:val="16"/>
              </w:rPr>
            </w:r>
            <w:r>
              <w:rPr>
                <w:rFonts w:ascii="Times New Roman" w:hAnsi="Times New Roman"/>
                <w:sz w:val="16"/>
              </w:rPr>
              <w:t>0.746</w:t>
            </w:r>
          </w:p>
        </w:tc>
        <w:tc>
          <w:tcPr>
            <w:tcW w:type="dxa" w:w="2088"/>
          </w:tcPr>
          <w:p>
            <w:pPr>
              <w:spacing w:after="0"/>
            </w:pPr>
            <w:r>
              <w:rPr>
                <w:sz w:val="16"/>
              </w:rPr>
            </w:r>
            <w:r>
              <w:rPr>
                <w:rFonts w:ascii="Times New Roman" w:hAnsi="Times New Roman"/>
                <w:sz w:val="16"/>
              </w:rPr>
              <w:t>44 / 57</w:t>
            </w:r>
          </w:p>
        </w:tc>
        <w:tc>
          <w:tcPr>
            <w:tcW w:type="dxa" w:w="2088"/>
          </w:tcPr>
          <w:p>
            <w:pPr>
              <w:spacing w:after="0"/>
            </w:pPr>
            <w:r>
              <w:rPr>
                <w:sz w:val="16"/>
              </w:rPr>
            </w:r>
            <w:r>
              <w:rPr>
                <w:rFonts w:ascii="Times New Roman" w:hAnsi="Times New Roman"/>
                <w:sz w:val="16"/>
              </w:rPr>
              <w:t>11 / 28</w:t>
            </w:r>
          </w:p>
        </w:tc>
        <w:tc>
          <w:tcPr>
            <w:tcW w:type="dxa" w:w="2088"/>
          </w:tcPr>
          <w:p>
            <w:pPr>
              <w:spacing w:after="0"/>
            </w:pPr>
            <w:r>
              <w:rPr>
                <w:sz w:val="16"/>
              </w:rPr>
            </w:r>
            <w:r>
              <w:rPr>
                <w:rFonts w:ascii="Times New Roman" w:hAnsi="Times New Roman"/>
                <w:sz w:val="16"/>
              </w:rPr>
              <w:t>0.739</w:t>
            </w:r>
          </w:p>
        </w:tc>
      </w:tr>
      <w:tr>
        <w:tc>
          <w:tcPr>
            <w:tcW w:type="dxa" w:w="2088"/>
          </w:tcPr>
          <w:p>
            <w:pPr>
              <w:spacing w:after="0"/>
            </w:pPr>
            <w:r>
              <w:rPr>
                <w:sz w:val="16"/>
              </w:rPr>
            </w:r>
            <w:r>
              <w:rPr>
                <w:rFonts w:ascii="Times New Roman" w:hAnsi="Times New Roman"/>
                <w:sz w:val="16"/>
              </w:rPr>
              <w:t>2. generator self-report</w:t>
            </w:r>
          </w:p>
        </w:tc>
        <w:tc>
          <w:tcPr>
            <w:tcW w:type="dxa" w:w="2088"/>
          </w:tcPr>
          <w:p>
            <w:pPr>
              <w:spacing w:after="0"/>
            </w:pPr>
            <w:r>
              <w:rPr>
                <w:sz w:val="16"/>
              </w:rPr>
            </w:r>
            <w:r>
              <w:rPr>
                <w:rFonts w:ascii="Times New Roman" w:hAnsi="Times New Roman"/>
                <w:b/>
                <w:sz w:val="16"/>
              </w:rPr>
              <w:t>0.889</w:t>
            </w:r>
          </w:p>
        </w:tc>
        <w:tc>
          <w:tcPr>
            <w:tcW w:type="dxa" w:w="2088"/>
          </w:tcPr>
          <w:p>
            <w:pPr>
              <w:spacing w:after="0"/>
            </w:pPr>
            <w:r>
              <w:rPr>
                <w:sz w:val="16"/>
              </w:rPr>
            </w:r>
            <w:r>
              <w:rPr>
                <w:rFonts w:ascii="Times New Roman" w:hAnsi="Times New Roman"/>
                <w:sz w:val="16"/>
              </w:rPr>
              <w:t>52 / 57</w:t>
            </w:r>
          </w:p>
        </w:tc>
        <w:tc>
          <w:tcPr>
            <w:tcW w:type="dxa" w:w="2088"/>
          </w:tcPr>
          <w:p>
            <w:pPr>
              <w:spacing w:after="0"/>
            </w:pPr>
            <w:r>
              <w:rPr>
                <w:sz w:val="16"/>
              </w:rPr>
            </w:r>
            <w:r>
              <w:rPr>
                <w:rFonts w:ascii="Times New Roman" w:hAnsi="Times New Roman"/>
                <w:b/>
                <w:sz w:val="16"/>
              </w:rPr>
              <w:t>20 / 28</w:t>
            </w:r>
          </w:p>
        </w:tc>
        <w:tc>
          <w:tcPr>
            <w:tcW w:type="dxa" w:w="2088"/>
          </w:tcPr>
          <w:p>
            <w:pPr>
              <w:spacing w:after="0"/>
            </w:pPr>
            <w:r>
              <w:rPr>
                <w:sz w:val="16"/>
              </w:rPr>
            </w:r>
            <w:r>
              <w:rPr>
                <w:rFonts w:ascii="Times New Roman" w:hAnsi="Times New Roman"/>
                <w:b/>
                <w:sz w:val="16"/>
              </w:rPr>
              <w:t>0.957</w:t>
            </w:r>
          </w:p>
        </w:tc>
      </w:tr>
      <w:tr>
        <w:tc>
          <w:tcPr>
            <w:tcW w:type="dxa" w:w="2088"/>
          </w:tcPr>
          <w:p>
            <w:pPr>
              <w:spacing w:after="0"/>
            </w:pPr>
            <w:r>
              <w:rPr>
                <w:sz w:val="16"/>
              </w:rPr>
            </w:r>
            <w:r>
              <w:rPr>
                <w:rFonts w:ascii="Times New Roman" w:hAnsi="Times New Roman"/>
                <w:sz w:val="16"/>
              </w:rPr>
              <w:t>3. NLI entailment</w:t>
            </w:r>
          </w:p>
        </w:tc>
        <w:tc>
          <w:tcPr>
            <w:tcW w:type="dxa" w:w="2088"/>
          </w:tcPr>
          <w:p>
            <w:pPr>
              <w:spacing w:after="0"/>
            </w:pPr>
            <w:r>
              <w:rPr>
                <w:sz w:val="16"/>
              </w:rPr>
            </w:r>
            <w:r>
              <w:rPr>
                <w:rFonts w:ascii="Times New Roman" w:hAnsi="Times New Roman"/>
                <w:sz w:val="16"/>
              </w:rPr>
              <w:t>0.889</w:t>
            </w:r>
          </w:p>
        </w:tc>
        <w:tc>
          <w:tcPr>
            <w:tcW w:type="dxa" w:w="2088"/>
          </w:tcPr>
          <w:p>
            <w:pPr>
              <w:spacing w:after="0"/>
            </w:pPr>
            <w:r>
              <w:rPr>
                <w:sz w:val="16"/>
              </w:rPr>
            </w:r>
            <w:r>
              <w:rPr>
                <w:rFonts w:ascii="Times New Roman" w:hAnsi="Times New Roman"/>
                <w:sz w:val="16"/>
              </w:rPr>
              <w:t>52 / 57</w:t>
            </w:r>
          </w:p>
        </w:tc>
        <w:tc>
          <w:tcPr>
            <w:tcW w:type="dxa" w:w="2088"/>
          </w:tcPr>
          <w:p>
            <w:pPr>
              <w:spacing w:after="0"/>
            </w:pPr>
            <w:r>
              <w:rPr>
                <w:sz w:val="16"/>
              </w:rPr>
            </w:r>
            <w:r>
              <w:rPr>
                <w:rFonts w:ascii="Times New Roman" w:hAnsi="Times New Roman"/>
                <w:sz w:val="16"/>
              </w:rPr>
              <w:t>20 / 28</w:t>
            </w:r>
          </w:p>
        </w:tc>
        <w:tc>
          <w:tcPr>
            <w:tcW w:type="dxa" w:w="2088"/>
          </w:tcPr>
          <w:p>
            <w:pPr>
              <w:spacing w:after="0"/>
            </w:pPr>
            <w:r>
              <w:rPr>
                <w:sz w:val="16"/>
              </w:rPr>
            </w:r>
            <w:r>
              <w:rPr>
                <w:rFonts w:ascii="Times New Roman" w:hAnsi="Times New Roman"/>
                <w:sz w:val="16"/>
              </w:rPr>
              <w:t>0.957</w:t>
            </w:r>
          </w:p>
        </w:tc>
      </w:tr>
    </w:tbl>
    <w:p>
      <w:pPr>
        <w:spacing w:after="40"/>
      </w:pPr>
    </w:p>
    <w:p>
      <w:pPr>
        <w:spacing w:after="0"/>
        <w:ind w:firstLine="288"/>
        <w:jc w:val="both"/>
      </w:pPr>
      <w:r>
        <w:rPr>
          <w:rFonts w:ascii="Times New Roman" w:hAnsi="Times New Roman"/>
          <w:sz w:val="20"/>
        </w:rPr>
        <w:t>The threshold's recall is refusal: it answers 2 of 28 answerable questions. The generator answers 20 while catching 52 of 57 unanswerable and 22 of 23 near-misses. NLI is identical because its fitted threshold is zero — of the 25 questions the generator answers only 5 are unanswerable, leaving nothing for a second filter to catch. A deployment would combine them in sequence: the BM25 floor removes out-of-scope questions before generation, and the generator's abstention handles near-misses.</w:t>
      </w:r>
    </w:p>
    <w:p>
      <w:pPr>
        <w:spacing w:before="200" w:after="80"/>
        <w:jc w:val="center"/>
      </w:pPr>
      <w:r>
        <w:rPr>
          <w:rFonts w:ascii="Times New Roman" w:hAnsi="Times New Roman"/>
          <w:smallCaps/>
          <w:sz w:val="20"/>
        </w:rPr>
        <w:t>VII. Error Analysis</w:t>
      </w:r>
    </w:p>
    <w:p>
      <w:pPr>
        <w:spacing w:after="0"/>
        <w:ind w:firstLine="288"/>
        <w:jc w:val="both"/>
      </w:pPr>
      <w:r>
        <w:rPr>
          <w:rFonts w:ascii="Times New Roman" w:hAnsi="Times New Roman"/>
          <w:sz w:val="20"/>
        </w:rPr>
        <w:t>We select failures by rule — within each of ten taxonomy categories, the most confident miss — on the test split over script-aware fusion, giving 15 cases across 8 categories. In 12 the right scheme is in the top five but the passage stating the fact is not, often because that passage is in the other language. Reading the cases corrects the automatic diagnosis twice. In one, the first result states the answer, but 25% segment overlap copied the sentence into a passage the gold set does not list, so a correct retrieval is scored as a miss. In another, a fact appears only in an article filed under a different scheme.</w:t>
      </w:r>
    </w:p>
    <w:p>
      <w:pPr>
        <w:spacing w:after="0"/>
        <w:ind w:firstLine="288"/>
        <w:jc w:val="both"/>
      </w:pPr>
      <w:r>
        <w:rPr>
          <w:rFonts w:ascii="Times New Roman" w:hAnsi="Times New Roman"/>
          <w:sz w:val="20"/>
        </w:rPr>
        <w:t xml:space="preserve">One case exposed a defect in script-aware fusion itself: BM25 returned a Hindi passage for a Romanized query through the one Latin word it quotes, and the eligibility rule doubled a vote that had been cast, lifting an irrelevant passage to rank 1. Because the defect was found on test, we decided on dev whether to correct it. Counting a cast vote as eligible is </w:t>
      </w:r>
      <w:r>
        <w:rPr>
          <w:rFonts w:ascii="Times New Roman" w:hAnsi="Times New Roman"/>
          <w:i/>
          <w:sz w:val="20"/>
        </w:rPr>
        <w:t>worse</w:t>
      </w:r>
      <w:r>
        <w:rPr>
          <w:rFonts w:ascii="Times New Roman" w:hAnsi="Times New Roman"/>
          <w:sz w:val="20"/>
        </w:rPr>
        <w:t xml:space="preserve"> there (−0.026 overall, −0.093 cross-lingual, both n.s.), and it changes six queries across both splits, losing five: in four of them BM25 reached a cross-script gold passage through a year or number in the question. A cast cross-script vote is usually real evidence, and the rule stays.</w:t>
      </w:r>
    </w:p>
    <w:p>
      <w:pPr>
        <w:spacing w:after="0"/>
        <w:ind w:firstLine="288"/>
        <w:jc w:val="both"/>
      </w:pPr>
      <w:r>
        <w:rPr>
          <w:rFonts w:ascii="Times New Roman" w:hAnsi="Times New Roman"/>
          <w:sz w:val="20"/>
        </w:rPr>
        <w:t>The method itself came from an earlier selection of twenty failures over plain RRF, in which dense retrieval alone had found the gold passage in eight and plain RRF lost all eight. The aggregate table showed only that hybrid retrieval underperformed; the cases showed why.</w:t>
      </w:r>
    </w:p>
    <w:p>
      <w:pPr>
        <w:spacing w:before="200" w:after="80"/>
        <w:jc w:val="center"/>
      </w:pPr>
      <w:r>
        <w:rPr>
          <w:rFonts w:ascii="Times New Roman" w:hAnsi="Times New Roman"/>
          <w:smallCaps/>
          <w:sz w:val="20"/>
        </w:rPr>
        <w:t>VIII. Discussion</w:t>
      </w:r>
    </w:p>
    <w:p>
      <w:pPr>
        <w:spacing w:after="0"/>
        <w:ind w:firstLine="288"/>
        <w:jc w:val="both"/>
      </w:pPr>
      <w:r>
        <w:rPr>
          <w:rFonts w:ascii="Times New Roman" w:hAnsi="Times New Roman"/>
          <w:sz w:val="20"/>
        </w:rPr>
        <w:t xml:space="preserve">The mechanism is not about Hindi. It arises wherever rank fusion runs over retrievers with </w:t>
      </w:r>
      <w:r>
        <w:rPr>
          <w:rFonts w:ascii="Times New Roman" w:hAnsi="Times New Roman"/>
          <w:i/>
          <w:sz w:val="20"/>
        </w:rPr>
        <w:t>asymmetric coverage</w:t>
      </w:r>
      <w:r>
        <w:rPr>
          <w:rFonts w:ascii="Times New Roman" w:hAnsi="Times New Roman"/>
          <w:sz w:val="20"/>
        </w:rPr>
        <w:t xml:space="preserve"> — text and image retrievers, access-controlled shards, a specialist index over a partly covered collection. Before fusing, check whether each retriever </w:t>
      </w:r>
      <w:r>
        <w:rPr>
          <w:rFonts w:ascii="Times New Roman" w:hAnsi="Times New Roman"/>
          <w:i/>
          <w:sz w:val="20"/>
        </w:rPr>
        <w:t>could</w:t>
      </w:r>
      <w:r>
        <w:rPr>
          <w:rFonts w:ascii="Times New Roman" w:hAnsi="Times New Roman"/>
          <w:sz w:val="20"/>
        </w:rPr>
        <w:t xml:space="preserve"> have retrieved what the other did, not only how accurate each is. Where coverage is asymmetric, fuse over the eligible retrievers.</w:t>
      </w:r>
    </w:p>
    <w:p>
      <w:pPr>
        <w:spacing w:after="0"/>
        <w:ind w:firstLine="288"/>
        <w:jc w:val="both"/>
      </w:pPr>
      <w:r>
        <w:rPr>
          <w:rFonts w:ascii="Times New Roman" w:hAnsi="Times New Roman"/>
          <w:sz w:val="20"/>
        </w:rPr>
        <w:t>The end-to-end numbers bound the claim. Retrieval is what makes answers groundable, but which retriever supplies the passages did not change answer quality at our sample size, and the generator still loses more than retrieval does. Script-aware fusion is a retrieval result, measured as retrieval.</w:t>
      </w:r>
    </w:p>
    <w:p>
      <w:pPr>
        <w:spacing w:before="200" w:after="80"/>
        <w:jc w:val="center"/>
      </w:pPr>
      <w:r>
        <w:rPr>
          <w:rFonts w:ascii="Times New Roman" w:hAnsi="Times New Roman"/>
          <w:smallCaps/>
          <w:sz w:val="20"/>
        </w:rPr>
        <w:t>IX. Limitations</w:t>
      </w:r>
    </w:p>
    <w:p>
      <w:pPr>
        <w:spacing w:after="0"/>
        <w:ind w:firstLine="288"/>
        <w:jc w:val="both"/>
      </w:pPr>
      <w:r>
        <w:rPr>
          <w:rFonts w:ascii="Times New Roman" w:hAnsi="Times New Roman"/>
          <w:b/>
          <w:sz w:val="20"/>
        </w:rPr>
        <w:t>One annotator, not blind.</w:t>
      </w:r>
      <w:r>
        <w:rPr>
          <w:rFonts w:ascii="Times New Roman" w:hAnsi="Times New Roman"/>
          <w:sz w:val="20"/>
        </w:rPr>
        <w:t xml:space="preserve"> The person who reviewed the test split saw the model's verdicts and accepted every item, which confirms the model passes rather than measuring agreement with them; the dev split rests on the model passes alone; and the blind second pass was a model instance, so κ = 1.000 measures consistency, not the inter-annotator agreement the protocol required. An independent, blind second annotator is the most valuable outstanding work. </w:t>
      </w:r>
      <w:r>
        <w:rPr>
          <w:rFonts w:ascii="Times New Roman" w:hAnsi="Times New Roman"/>
          <w:b/>
          <w:sz w:val="20"/>
        </w:rPr>
        <w:t>Scope:</w:t>
      </w:r>
      <w:r>
        <w:rPr>
          <w:rFonts w:ascii="Times New Roman" w:hAnsi="Times New Roman"/>
          <w:sz w:val="20"/>
        </w:rPr>
        <w:t xml:space="preserve"> one Indic language and two scripts; an encyclopedic rather than regulatory corpus; 313 answerable items, so per-cell differences of a few points are not resolvable; Module 4 on a 72-item sample; a 3B 4-bit generator; no fine-tuning. </w:t>
      </w:r>
      <w:r>
        <w:rPr>
          <w:rFonts w:ascii="Times New Roman" w:hAnsi="Times New Roman"/>
          <w:b/>
          <w:sz w:val="20"/>
        </w:rPr>
        <w:t>Probes:</w:t>
      </w:r>
      <w:r>
        <w:rPr>
          <w:rFonts w:ascii="Times New Roman" w:hAnsi="Times New Roman"/>
          <w:sz w:val="20"/>
        </w:rPr>
        <w:t xml:space="preserve"> our first analyses used 180 synthetic probes, which found the mechanism but overstated the gain over dense retrieval; the figures reported here are all from the verified test split.</w:t>
      </w:r>
    </w:p>
    <w:p>
      <w:pPr>
        <w:spacing w:before="200" w:after="80"/>
        <w:jc w:val="center"/>
      </w:pPr>
      <w:r>
        <w:rPr>
          <w:rFonts w:ascii="Times New Roman" w:hAnsi="Times New Roman"/>
          <w:smallCaps/>
          <w:sz w:val="20"/>
        </w:rPr>
        <w:t>X. Conclusion</w:t>
      </w:r>
    </w:p>
    <w:p>
      <w:pPr>
        <w:spacing w:after="0"/>
        <w:ind w:firstLine="288"/>
        <w:jc w:val="both"/>
      </w:pPr>
      <w:r>
        <w:rPr>
          <w:rFonts w:ascii="Times New Roman" w:hAnsi="Times New Roman"/>
          <w:sz w:val="20"/>
        </w:rPr>
        <w:t>Reciprocal Rank Fusion applied unmodified to a lexical and a dense retriever over a bilingual collection penalises cross-script passages for the lexical retriever's inability to return them, discarding the only informative evidence in exactly the cross-lingual and code-mixed cases such a system exists to serve. Scoring each candidate over the retrievers eligible to return it corrects this — cross-lingual Recall@5 from 0.274 to 0.685 on our test split, with no monolingual cost and no training — though over a strong dense retriever alone the corrected hybrid gains little. The result was invisible in the aggregate metrics and was recovered from a structured reading of failure cases. Future work is an independent second annotator, a non-Devanagari Indic script, and the eligibility formulation outside language.</w:t>
      </w:r>
    </w:p>
    <w:p>
      <w:pPr>
        <w:spacing w:before="200" w:after="80"/>
        <w:jc w:val="center"/>
      </w:pPr>
      <w:r>
        <w:rPr>
          <w:rFonts w:ascii="Times New Roman" w:hAnsi="Times New Roman"/>
          <w:smallCaps/>
          <w:sz w:val="20"/>
        </w:rPr>
        <w:t>References</w:t>
      </w:r>
    </w:p>
    <w:p>
      <w:pPr>
        <w:spacing w:after="0"/>
        <w:ind w:firstLine="288"/>
        <w:jc w:val="both"/>
      </w:pPr>
      <w:r>
        <w:rPr>
          <w:rFonts w:ascii="Times New Roman" w:hAnsi="Times New Roman"/>
          <w:sz w:val="20"/>
        </w:rPr>
        <w:t xml:space="preserve">[1] G. V. Cormack, C. L. A. Clarke, and S. Büttcher, "Reciprocal rank fusion outperforms Condorcet and individual rank learning methods," in </w:t>
      </w:r>
      <w:r>
        <w:rPr>
          <w:rFonts w:ascii="Times New Roman" w:hAnsi="Times New Roman"/>
          <w:i/>
          <w:sz w:val="20"/>
        </w:rPr>
        <w:t>Proc. SIGIR</w:t>
      </w:r>
      <w:r>
        <w:rPr>
          <w:rFonts w:ascii="Times New Roman" w:hAnsi="Times New Roman"/>
          <w:sz w:val="20"/>
        </w:rPr>
        <w:t>, 2009, pp. 758–759.</w:t>
      </w:r>
    </w:p>
    <w:p>
      <w:pPr>
        <w:spacing w:after="0"/>
        <w:ind w:firstLine="288"/>
        <w:jc w:val="both"/>
      </w:pPr>
      <w:r>
        <w:rPr>
          <w:rFonts w:ascii="Times New Roman" w:hAnsi="Times New Roman"/>
          <w:sz w:val="20"/>
        </w:rPr>
        <w:t xml:space="preserve">[2] F. Feng, Y. Yang, D. Cer, N. Arivazhagan, and W. Wang, "Language-agnostic BERT sentence embedding," in </w:t>
      </w:r>
      <w:r>
        <w:rPr>
          <w:rFonts w:ascii="Times New Roman" w:hAnsi="Times New Roman"/>
          <w:i/>
          <w:sz w:val="20"/>
        </w:rPr>
        <w:t>Proc. ACL</w:t>
      </w:r>
      <w:r>
        <w:rPr>
          <w:rFonts w:ascii="Times New Roman" w:hAnsi="Times New Roman"/>
          <w:sz w:val="20"/>
        </w:rPr>
        <w:t>, 2022, pp. 878–891.</w:t>
      </w:r>
    </w:p>
    <w:p>
      <w:pPr>
        <w:spacing w:after="0"/>
        <w:ind w:firstLine="288"/>
        <w:jc w:val="both"/>
      </w:pPr>
      <w:r>
        <w:rPr>
          <w:rFonts w:ascii="Times New Roman" w:hAnsi="Times New Roman"/>
          <w:sz w:val="20"/>
        </w:rPr>
        <w:t xml:space="preserve">[3] L. Wang </w:t>
      </w:r>
      <w:r>
        <w:rPr>
          <w:rFonts w:ascii="Times New Roman" w:hAnsi="Times New Roman"/>
          <w:i/>
          <w:sz w:val="20"/>
        </w:rPr>
        <w:t>et al.</w:t>
      </w:r>
      <w:r>
        <w:rPr>
          <w:rFonts w:ascii="Times New Roman" w:hAnsi="Times New Roman"/>
          <w:sz w:val="20"/>
        </w:rPr>
        <w:t>, "Multilingual E5 text embeddings: A technical report," arXiv:2402.05672, 2024.</w:t>
      </w:r>
    </w:p>
    <w:p>
      <w:pPr>
        <w:spacing w:after="0"/>
        <w:ind w:firstLine="288"/>
        <w:jc w:val="both"/>
      </w:pPr>
      <w:r>
        <w:rPr>
          <w:rFonts w:ascii="Times New Roman" w:hAnsi="Times New Roman"/>
          <w:sz w:val="20"/>
        </w:rPr>
        <w:t xml:space="preserve">[4] N. Reimers and I. Gurevych, "Sentence-BERT: Sentence embeddings using Siamese BERT-networks," in </w:t>
      </w:r>
      <w:r>
        <w:rPr>
          <w:rFonts w:ascii="Times New Roman" w:hAnsi="Times New Roman"/>
          <w:i/>
          <w:sz w:val="20"/>
        </w:rPr>
        <w:t>Proc. EMNLP-IJCNLP</w:t>
      </w:r>
      <w:r>
        <w:rPr>
          <w:rFonts w:ascii="Times New Roman" w:hAnsi="Times New Roman"/>
          <w:sz w:val="20"/>
        </w:rPr>
        <w:t>, 2019.</w:t>
      </w:r>
    </w:p>
    <w:p>
      <w:pPr>
        <w:spacing w:after="0"/>
        <w:ind w:firstLine="288"/>
        <w:jc w:val="both"/>
      </w:pPr>
      <w:r>
        <w:rPr>
          <w:rFonts w:ascii="Times New Roman" w:hAnsi="Times New Roman"/>
          <w:sz w:val="20"/>
        </w:rPr>
        <w:t xml:space="preserve">[5] N. Reimers and I. Gurevych, "Making monolingual sentence embeddings multilingual using knowledge distillation," in </w:t>
      </w:r>
      <w:r>
        <w:rPr>
          <w:rFonts w:ascii="Times New Roman" w:hAnsi="Times New Roman"/>
          <w:i/>
          <w:sz w:val="20"/>
        </w:rPr>
        <w:t>Proc. EMNLP</w:t>
      </w:r>
      <w:r>
        <w:rPr>
          <w:rFonts w:ascii="Times New Roman" w:hAnsi="Times New Roman"/>
          <w:sz w:val="20"/>
        </w:rPr>
        <w:t>, 2020.</w:t>
      </w:r>
    </w:p>
    <w:p>
      <w:pPr>
        <w:spacing w:after="0"/>
        <w:ind w:firstLine="288"/>
        <w:jc w:val="both"/>
      </w:pPr>
      <w:r>
        <w:rPr>
          <w:rFonts w:ascii="Times New Roman" w:hAnsi="Times New Roman"/>
          <w:sz w:val="20"/>
        </w:rPr>
        <w:t xml:space="preserve">[6] X. Zhang </w:t>
      </w:r>
      <w:r>
        <w:rPr>
          <w:rFonts w:ascii="Times New Roman" w:hAnsi="Times New Roman"/>
          <w:i/>
          <w:sz w:val="20"/>
        </w:rPr>
        <w:t>et al.</w:t>
      </w:r>
      <w:r>
        <w:rPr>
          <w:rFonts w:ascii="Times New Roman" w:hAnsi="Times New Roman"/>
          <w:sz w:val="20"/>
        </w:rPr>
        <w:t>, "Mr. TyDi: A multi-lingual benchmark for dense retrieval," arXiv:2108.08787, 2021.</w:t>
      </w:r>
    </w:p>
    <w:p>
      <w:pPr>
        <w:spacing w:after="0"/>
        <w:ind w:firstLine="288"/>
        <w:jc w:val="both"/>
      </w:pPr>
      <w:r>
        <w:rPr>
          <w:rFonts w:ascii="Times New Roman" w:hAnsi="Times New Roman"/>
          <w:sz w:val="20"/>
        </w:rPr>
        <w:t xml:space="preserve">[7] A. Asai </w:t>
      </w:r>
      <w:r>
        <w:rPr>
          <w:rFonts w:ascii="Times New Roman" w:hAnsi="Times New Roman"/>
          <w:i/>
          <w:sz w:val="20"/>
        </w:rPr>
        <w:t>et al.</w:t>
      </w:r>
      <w:r>
        <w:rPr>
          <w:rFonts w:ascii="Times New Roman" w:hAnsi="Times New Roman"/>
          <w:sz w:val="20"/>
        </w:rPr>
        <w:t>, "MIA 2022 shared task: Evaluating cross-lingual open-retrieval question answering for 16 diverse languages," arXiv:2207.00758, 2022.</w:t>
      </w:r>
    </w:p>
    <w:p>
      <w:pPr>
        <w:spacing w:after="0"/>
        <w:ind w:firstLine="288"/>
        <w:jc w:val="both"/>
      </w:pPr>
      <w:r>
        <w:rPr>
          <w:rFonts w:ascii="Times New Roman" w:hAnsi="Times New Roman"/>
          <w:sz w:val="20"/>
        </w:rPr>
        <w:t xml:space="preserve">[8] O. Ogundepo </w:t>
      </w:r>
      <w:r>
        <w:rPr>
          <w:rFonts w:ascii="Times New Roman" w:hAnsi="Times New Roman"/>
          <w:i/>
          <w:sz w:val="20"/>
        </w:rPr>
        <w:t>et al.</w:t>
      </w:r>
      <w:r>
        <w:rPr>
          <w:rFonts w:ascii="Times New Roman" w:hAnsi="Times New Roman"/>
          <w:sz w:val="20"/>
        </w:rPr>
        <w:t>, "AfriQA: Cross-lingual open-retrieval question answering for African languages," arXiv:2305.06897, 2023.</w:t>
      </w:r>
    </w:p>
    <w:p>
      <w:pPr>
        <w:spacing w:after="0"/>
        <w:ind w:firstLine="288"/>
        <w:jc w:val="both"/>
      </w:pPr>
      <w:r>
        <w:rPr>
          <w:rFonts w:ascii="Times New Roman" w:hAnsi="Times New Roman"/>
          <w:sz w:val="20"/>
        </w:rPr>
        <w:t xml:space="preserve">[9] S. Khanuja </w:t>
      </w:r>
      <w:r>
        <w:rPr>
          <w:rFonts w:ascii="Times New Roman" w:hAnsi="Times New Roman"/>
          <w:i/>
          <w:sz w:val="20"/>
        </w:rPr>
        <w:t>et al.</w:t>
      </w:r>
      <w:r>
        <w:rPr>
          <w:rFonts w:ascii="Times New Roman" w:hAnsi="Times New Roman"/>
          <w:sz w:val="20"/>
        </w:rPr>
        <w:t>, "MuRIL: Multilingual representations for Indian languages," arXiv:2103.10730, 2021.</w:t>
      </w:r>
    </w:p>
    <w:p>
      <w:pPr>
        <w:spacing w:after="0"/>
        <w:ind w:firstLine="288"/>
        <w:jc w:val="both"/>
      </w:pPr>
      <w:r>
        <w:rPr>
          <w:rFonts w:ascii="Times New Roman" w:hAnsi="Times New Roman"/>
          <w:sz w:val="20"/>
        </w:rPr>
        <w:t xml:space="preserve">[10] D. Kakwani </w:t>
      </w:r>
      <w:r>
        <w:rPr>
          <w:rFonts w:ascii="Times New Roman" w:hAnsi="Times New Roman"/>
          <w:i/>
          <w:sz w:val="20"/>
        </w:rPr>
        <w:t>et al.</w:t>
      </w:r>
      <w:r>
        <w:rPr>
          <w:rFonts w:ascii="Times New Roman" w:hAnsi="Times New Roman"/>
          <w:sz w:val="20"/>
        </w:rPr>
        <w:t xml:space="preserve">, "IndicNLPSuite: Monolingual corpora, evaluation benchmarks and pre-trained multilingual language models for Indian languages," in </w:t>
      </w:r>
      <w:r>
        <w:rPr>
          <w:rFonts w:ascii="Times New Roman" w:hAnsi="Times New Roman"/>
          <w:i/>
          <w:sz w:val="20"/>
        </w:rPr>
        <w:t>Findings of EMNLP</w:t>
      </w:r>
      <w:r>
        <w:rPr>
          <w:rFonts w:ascii="Times New Roman" w:hAnsi="Times New Roman"/>
          <w:sz w:val="20"/>
        </w:rPr>
        <w:t>, 2020.</w:t>
      </w:r>
    </w:p>
    <w:p>
      <w:pPr>
        <w:spacing w:after="0"/>
        <w:ind w:firstLine="288"/>
        <w:jc w:val="both"/>
      </w:pPr>
      <w:r>
        <w:rPr>
          <w:rFonts w:ascii="Times New Roman" w:hAnsi="Times New Roman"/>
          <w:sz w:val="20"/>
        </w:rPr>
        <w:t xml:space="preserve">[11] B. Li, H. Zhou, J. He, M. Wang, Y. Yang, and L. Li, "On the sentence embeddings from pre-trained language models," in </w:t>
      </w:r>
      <w:r>
        <w:rPr>
          <w:rFonts w:ascii="Times New Roman" w:hAnsi="Times New Roman"/>
          <w:i/>
          <w:sz w:val="20"/>
        </w:rPr>
        <w:t>Proc. EMNLP</w:t>
      </w:r>
      <w:r>
        <w:rPr>
          <w:rFonts w:ascii="Times New Roman" w:hAnsi="Times New Roman"/>
          <w:sz w:val="20"/>
        </w:rPr>
        <w:t>, 2020.</w:t>
      </w:r>
    </w:p>
    <w:p>
      <w:pPr>
        <w:spacing w:after="0"/>
        <w:ind w:firstLine="288"/>
        <w:jc w:val="both"/>
      </w:pPr>
      <w:r>
        <w:rPr>
          <w:rFonts w:ascii="Times New Roman" w:hAnsi="Times New Roman"/>
          <w:sz w:val="20"/>
        </w:rPr>
        <w:t>[12] "Exploring anisotropy and outliers in multilingual language models for cross-lingual semantic sentence similarity," arXiv:2306.00458, 2023.</w:t>
      </w:r>
    </w:p>
    <w:p>
      <w:pPr>
        <w:spacing w:after="0"/>
        <w:ind w:firstLine="288"/>
        <w:jc w:val="both"/>
      </w:pPr>
      <w:r>
        <w:rPr>
          <w:rFonts w:ascii="Times New Roman" w:hAnsi="Times New Roman"/>
          <w:sz w:val="20"/>
        </w:rPr>
        <w:t xml:space="preserve">[13] O. Khattab and M. Zaharia, "ColBERT: Efficient and effective passage search via contextualized late interaction over BERT," in </w:t>
      </w:r>
      <w:r>
        <w:rPr>
          <w:rFonts w:ascii="Times New Roman" w:hAnsi="Times New Roman"/>
          <w:i/>
          <w:sz w:val="20"/>
        </w:rPr>
        <w:t>Proc. SIGIR</w:t>
      </w:r>
      <w:r>
        <w:rPr>
          <w:rFonts w:ascii="Times New Roman" w:hAnsi="Times New Roman"/>
          <w:sz w:val="20"/>
        </w:rPr>
        <w:t>, 2020, pp. 39–48.</w:t>
      </w:r>
    </w:p>
    <w:p>
      <w:pPr>
        <w:spacing w:after="0"/>
        <w:ind w:firstLine="288"/>
        <w:jc w:val="both"/>
      </w:pPr>
      <w:r>
        <w:rPr>
          <w:rFonts w:ascii="Times New Roman" w:hAnsi="Times New Roman"/>
          <w:sz w:val="20"/>
        </w:rPr>
        <w:t xml:space="preserve">[14] T. Formal, B. Piwowarski, and S. Clinchant, "SPLADE: Sparse lexical and expansion model for first stage ranking," in </w:t>
      </w:r>
      <w:r>
        <w:rPr>
          <w:rFonts w:ascii="Times New Roman" w:hAnsi="Times New Roman"/>
          <w:i/>
          <w:sz w:val="20"/>
        </w:rPr>
        <w:t>Proc. SIGIR</w:t>
      </w:r>
      <w:r>
        <w:rPr>
          <w:rFonts w:ascii="Times New Roman" w:hAnsi="Times New Roman"/>
          <w:sz w:val="20"/>
        </w:rPr>
        <w:t>, 2021.</w:t>
      </w:r>
    </w:p>
    <w:p>
      <w:pPr>
        <w:spacing w:after="0"/>
        <w:ind w:firstLine="288"/>
        <w:jc w:val="both"/>
      </w:pPr>
      <w:r>
        <w:rPr>
          <w:rFonts w:ascii="Times New Roman" w:hAnsi="Times New Roman"/>
          <w:sz w:val="20"/>
        </w:rPr>
        <w:t>[15] Tu and Padmanabhan, "MIA 2022 shared task submission: Leveraging entity representations, dense-sparse hybrids, and fusion-in-decoder for cross-lingual question answering," arXiv:2207.01940, 2022.</w:t>
      </w:r>
    </w:p>
    <w:p>
      <w:pPr>
        <w:spacing w:after="0"/>
        <w:ind w:firstLine="288"/>
        <w:jc w:val="both"/>
      </w:pPr>
      <w:r>
        <w:rPr>
          <w:rFonts w:ascii="Times New Roman" w:hAnsi="Times New Roman"/>
          <w:sz w:val="20"/>
        </w:rPr>
        <w:t xml:space="preserve">[16] P. Rajpurkar, R. Jia, and P. Liang, "Know what you don't know: Unanswerable questions for SQuAD," in </w:t>
      </w:r>
      <w:r>
        <w:rPr>
          <w:rFonts w:ascii="Times New Roman" w:hAnsi="Times New Roman"/>
          <w:i/>
          <w:sz w:val="20"/>
        </w:rPr>
        <w:t>Proc. ACL</w:t>
      </w:r>
      <w:r>
        <w:rPr>
          <w:rFonts w:ascii="Times New Roman" w:hAnsi="Times New Roman"/>
          <w:sz w:val="20"/>
        </w:rPr>
        <w:t>, 2018, pp. 784–789.</w:t>
      </w:r>
    </w:p>
    <w:sectPr w:rsidR="00FC693F" w:rsidRPr="0006063C" w:rsidSect="00034616">
      <w:type w:val="continuous"/>
      <w:pgSz w:w="12240" w:h="15840"/>
      <w:pgMar w:top="1080" w:right="900" w:bottom="1440" w:left="900" w:header="720" w:footer="720" w:gutter="0"/>
      <w:cols w:space="288"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