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(178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negative result on retrieval-score answerability thresholds.</w:t>
      </w:r>
      <w:r>
        <w:rPr>
          <w:rFonts w:ascii="Times New Roman" w:hAnsi="Times New Roman"/>
          <w:sz w:val="20"/>
        </w:rPr>
        <w:t xml:space="preserve"> We show that the standard abstention signal carries no information on a corpus whose unanswerable questions concern present topics: answerable and unanswerable questions have indistinguishable top retrieval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threshold sweep stays at the 0.20 base rate. The mechanism is that a retrieval threshold is a corpus-absence detector, and answerability is not corpus absence.</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§VI-C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(Construction complete; verification in progress. Final counts and κ pending.)</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§VI-C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 Answerability is decided from retrieval-side features — top score, the top-1-to-top-2 margin, mean top-k similarity, score spread and scheme agreement across the retrieved set — with a threshold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Maximum similarity indicates how good the best passage looks; it does not indicate whether anything else looked equally good. A near-miss unanswerable question characteristically retrieves several passages at similar scores, because it matches a scheme's subject matter without matching any particular statement, whereas an answerable question usually has one clear winner. A high maximum score with a small margin is the signature of the hardest unanswerable class.</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0.372</w:t>
            </w:r>
          </w:p>
        </w:tc>
        <w:tc>
          <w:tcPr>
            <w:tcW w:type="dxa" w:w="2088"/>
          </w:tcPr>
          <w:p>
            <w:pPr>
              <w:spacing w:after="0"/>
            </w:pPr>
            <w:r>
              <w:rPr>
                <w:sz w:val="16"/>
              </w:rPr>
            </w:r>
            <w:r>
              <w:rPr>
                <w:rFonts w:ascii="Times New Roman" w:hAnsi="Times New Roman"/>
                <w:sz w:val="16"/>
              </w:rPr>
              <w:t>0.237</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0.372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natural-language inference does and what a retrieval score cannot. On the false-premise and near-miss items where the threshold is uninformative, NLI entailment identified the unanswerable item in 7 of 7 cases tested. That is a small sample and is reported as such; the full comparison runs with Module 4.</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Categories that are genuinely about generation, such as amounts and dates, are comparatively rare in this sample, which is itself informative: on this corpus the generator is not the bottleneck.</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