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(178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decomposition of answerability.</w:t>
      </w:r>
      <w:r>
        <w:rPr>
          <w:rFonts w:ascii="Times New Roman" w:hAnsi="Times New Roman"/>
          <w:sz w:val="20"/>
        </w:rPr>
        <w:t xml:space="preserve"> We show that retrieval-score thresholds, the standard abstention signal, reach 0.000 recall on false-premise questions, and give the mechanism: a false-premise question retrieves confidently because the scheme it names is real, so no threshold over retrieval scores can separate it from an answerable one.</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§VI-C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§VI-E shows why the distinction is not cosmetic: a retrieval-score threshold catches 0.688 of out-of-scope questions and 0.000 of false-premise ones. A single F1 over a set containing both conceals total failure on one of them.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Passage identifiers are stable across re-segmentation runs, which the gold set, the embedding caches and the error analysis all depend on.</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(Construction complete; verification in progress. Final counts and κ pending.)</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We control for this in three ways: the generation prompt instructs paraphrase rather than extraction; we compute the content-token Jaccard overlap between every question and its gold passage and publish the distribution; and we report the headline retrieval comparison on the low-overlap tertile as well as on the full set. On the English-evidence cell completed to date, median overlap is 0.075 with a maximum of 0.186 — low enough that BM25 is not being handed its answer.</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§VI-C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 Answerability is decided from retrieval-side features — top score, the top-1-to-top-2 margin, mean top-k similarity, score spread and scheme agreement across the retrieved set — with a threshold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Maximum similarity indicates how good the best passage looks; it does not indicate whether anything else looked equally good. A near-miss unanswerable question characteristically retrieves several passages at similar scores, because it matches a scheme's subject matter without matching any particular statement, whereas an answerable question usually has one clear winner. A high maximum score with a small margin is the signature of the hardest unanswerable class.</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MuRIL, pretrained on seventeen Indian languages, is the weakest dense encoder tested at 0.238 Recall@5 — below MiniLM-L12 at 0.303, a model with roughly half the parameters but trained with a retrieval objective.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 against 0.173 for script-aware fusion over BM25 and e5-base, and 0.132 for e5-base alone. On code-mixed queries, choosing a different encoder outperforms correcting the fusion over a weaker one, by a wide margin.</w:t>
      </w:r>
    </w:p>
    <w:p>
      <w:pPr>
        <w:spacing w:after="0"/>
        <w:ind w:firstLine="288"/>
        <w:jc w:val="both"/>
      </w:pPr>
      <w:r>
        <w:rPr>
          <w:rFonts w:ascii="Times New Roman" w:hAnsi="Times New Roman"/>
          <w:sz w:val="20"/>
        </w:rPr>
        <w:t xml:space="preserve">We state this plainly because it qualifies the practical reading of §VI-E. Two points bound it. The fusion correction is orthogonal to the choice of encoder: it is a statement about how rankings are combined, and nothing prevents applying it over LaBSE, which we have not tested and which we would expect to be stronger than either. And LaBSE does </w:t>
      </w:r>
      <w:r>
        <w:rPr>
          <w:rFonts w:ascii="Times New Roman" w:hAnsi="Times New Roman"/>
          <w:i/>
          <w:sz w:val="20"/>
        </w:rPr>
        <w:t>not</w:t>
      </w:r>
      <w:r>
        <w:rPr>
          <w:rFonts w:ascii="Times New Roman" w:hAnsi="Times New Roman"/>
          <w:sz w:val="20"/>
        </w:rPr>
        <w:t xml:space="preserve"> lead the cross-lingual slice — it scores 0.097 there, below both MiniLM and e5-base — so it is not a uniformly better choice but a differently shaped one.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120"/>
        <w:ind w:firstLine="0" w:left="216"/>
        <w:jc w:val="both"/>
      </w:pPr>
      <w:r>
        <w:rPr>
          <w:rFonts w:ascii="Times New Roman" w:hAnsi="Times New Roman"/>
          <w:b/>
          <w:sz w:val="20"/>
        </w:rPr>
        <w:t>Pending.</w:t>
      </w:r>
      <w:r>
        <w:rPr>
          <w:rFonts w:ascii="Times New Roman" w:hAnsi="Times New Roman"/>
          <w:sz w:val="20"/>
        </w:rPr>
        <w:t xml:space="preserve"> The generation sweep over arms A (closed-book), B (RAG-dense), C (RAG-hybrid) and D (RAG-oracle) is running on a stratified 72-item sample balanced across the six language-pair cells. Generations are cached per arm, so this table fills in without re-running completed work. The results to be reported here are Exact Match and script-aware token F1 per arm, Citation Support Rate under both lexical and NLI verification, abstention rate, and the fabricated-citation rate — the last being the rate at which an arm names a passage id that does not exist, which arm A can do only by invention.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fitted on 86 development items by maximising F1 on the unanswerable class and reported on 174 held-out items, reaches F1 = 0.376 against the 0.75 target, at precision 0.53 and recall 0.291.</w:t>
      </w:r>
    </w:p>
    <w:p>
      <w:pPr>
        <w:spacing w:after="0"/>
        <w:ind w:firstLine="288"/>
        <w:jc w:val="both"/>
      </w:pPr>
      <w:r>
        <w:rPr>
          <w:rFonts w:ascii="Times New Roman" w:hAnsi="Times New Roman"/>
          <w:sz w:val="20"/>
        </w:rPr>
        <w:t>The aggregate is not the finding. The per-class breakdown is.</w:t>
      </w:r>
    </w:p>
    <w:p>
      <w:pPr>
        <w:spacing w:after="0"/>
        <w:ind w:firstLine="288"/>
        <w:jc w:val="both"/>
      </w:pPr>
      <w:r>
        <w:rPr>
          <w:rFonts w:ascii="Times New Roman" w:hAnsi="Times New Roman"/>
          <w:b/>
          <w:sz w:val="20"/>
        </w:rPr>
        <w:t>Recall by unanswerable class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Recall</w:t>
            </w:r>
          </w:p>
        </w:tc>
        <w:tc>
          <w:tcPr>
            <w:tcW w:type="dxa" w:w="3480"/>
          </w:tcPr>
          <w:p>
            <w:pPr>
              <w:spacing w:after="0"/>
            </w:pPr>
            <w:r/>
            <w:r>
              <w:rPr>
                <w:rFonts w:ascii="Times New Roman" w:hAnsi="Times New Roman"/>
                <w:b/>
                <w:sz w:val="16"/>
              </w:rPr>
              <w:t>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0.688</w:t>
            </w:r>
          </w:p>
        </w:tc>
        <w:tc>
          <w:tcPr>
            <w:tcW w:type="dxa" w:w="3480"/>
          </w:tcPr>
          <w:p>
            <w:pPr>
              <w:spacing w:after="0"/>
            </w:pPr>
            <w:r>
              <w:rPr>
                <w:sz w:val="16"/>
              </w:rPr>
            </w:r>
            <w:r>
              <w:rPr>
                <w:rFonts w:ascii="Times New Roman" w:hAnsi="Times New Roman"/>
                <w:sz w:val="16"/>
              </w:rPr>
              <w:t>16</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0.286</w:t>
            </w:r>
          </w:p>
        </w:tc>
        <w:tc>
          <w:tcPr>
            <w:tcW w:type="dxa" w:w="3480"/>
          </w:tcPr>
          <w:p>
            <w:pPr>
              <w:spacing w:after="0"/>
            </w:pPr>
            <w:r>
              <w:rPr>
                <w:sz w:val="16"/>
              </w:rPr>
            </w:r>
            <w:r>
              <w:rPr>
                <w:rFonts w:ascii="Times New Roman" w:hAnsi="Times New Roman"/>
                <w:sz w:val="16"/>
              </w:rPr>
              <w:t>7</w:t>
            </w:r>
          </w:p>
        </w:tc>
      </w:tr>
      <w:tr>
        <w:tc>
          <w:tcPr>
            <w:tcW w:type="dxa" w:w="3480"/>
          </w:tcPr>
          <w:p>
            <w:pPr>
              <w:spacing w:after="0"/>
            </w:pPr>
            <w:r>
              <w:rPr>
                <w:sz w:val="16"/>
              </w:rPr>
            </w:r>
            <w:r>
              <w:rPr>
                <w:rFonts w:ascii="Times New Roman" w:hAnsi="Times New Roman"/>
                <w:sz w:val="16"/>
              </w:rPr>
              <w:t>near-miss</w:t>
            </w:r>
          </w:p>
        </w:tc>
        <w:tc>
          <w:tcPr>
            <w:tcW w:type="dxa" w:w="3480"/>
          </w:tcPr>
          <w:p>
            <w:pPr>
              <w:spacing w:after="0"/>
            </w:pPr>
            <w:r>
              <w:rPr>
                <w:sz w:val="16"/>
              </w:rPr>
            </w:r>
            <w:r>
              <w:rPr>
                <w:rFonts w:ascii="Times New Roman" w:hAnsi="Times New Roman"/>
                <w:sz w:val="16"/>
              </w:rPr>
              <w:t>0.143</w:t>
            </w:r>
          </w:p>
        </w:tc>
        <w:tc>
          <w:tcPr>
            <w:tcW w:type="dxa" w:w="3480"/>
          </w:tcPr>
          <w:p>
            <w:pPr>
              <w:spacing w:after="0"/>
            </w:pPr>
            <w:r>
              <w:rPr>
                <w:sz w:val="16"/>
              </w:rPr>
            </w:r>
            <w:r>
              <w:rPr>
                <w:rFonts w:ascii="Times New Roman" w:hAnsi="Times New Roman"/>
                <w:sz w:val="16"/>
              </w:rPr>
              <w:t>21</w:t>
            </w:r>
          </w:p>
        </w:tc>
      </w:tr>
      <w:tr>
        <w:tc>
          <w:tcPr>
            <w:tcW w:type="dxa" w:w="3480"/>
          </w:tcPr>
          <w:p>
            <w:pPr>
              <w:spacing w:after="0"/>
            </w:pPr>
            <w:r>
              <w:rPr>
                <w:sz w:val="16"/>
              </w:rPr>
            </w:r>
            <w:r>
              <w:rPr>
                <w:rFonts w:ascii="Times New Roman" w:hAnsi="Times New Roman"/>
                <w:sz w:val="16"/>
              </w:rPr>
              <w:t>false-premise</w:t>
            </w:r>
          </w:p>
        </w:tc>
        <w:tc>
          <w:tcPr>
            <w:tcW w:type="dxa" w:w="3480"/>
          </w:tcPr>
          <w:p>
            <w:pPr>
              <w:spacing w:after="0"/>
            </w:pPr>
            <w:r>
              <w:rPr>
                <w:sz w:val="16"/>
              </w:rPr>
            </w:r>
            <w:r>
              <w:rPr>
                <w:rFonts w:ascii="Times New Roman" w:hAnsi="Times New Roman"/>
                <w:b/>
                <w:sz w:val="16"/>
              </w:rPr>
              <w:t>0.000</w:t>
            </w:r>
          </w:p>
        </w:tc>
        <w:tc>
          <w:tcPr>
            <w:tcW w:type="dxa" w:w="3480"/>
          </w:tcPr>
          <w:p>
            <w:pPr>
              <w:spacing w:after="0"/>
            </w:pPr>
            <w:r>
              <w:rPr>
                <w:sz w:val="16"/>
              </w:rPr>
            </w:r>
            <w:r>
              <w:rPr>
                <w:rFonts w:ascii="Times New Roman" w:hAnsi="Times New Roman"/>
                <w:sz w:val="16"/>
              </w:rPr>
              <w:t>11</w:t>
            </w:r>
          </w:p>
        </w:tc>
      </w:tr>
    </w:tbl>
    <w:p>
      <w:pPr>
        <w:spacing w:after="40"/>
      </w:pPr>
    </w:p>
    <w:p>
      <w:pPr>
        <w:spacing w:after="0"/>
        <w:ind w:firstLine="288"/>
        <w:jc w:val="both"/>
      </w:pPr>
      <w:r>
        <w:rPr>
          <w:rFonts w:ascii="Times New Roman" w:hAnsi="Times New Roman"/>
          <w:sz w:val="20"/>
        </w:rPr>
        <w:t xml:space="preserve">The ordering is the result, and it is not a calibration failure. Out-of-scope questions are about subjects absent from the corpus; they retrieve badly, and any threshold catches them. False-premise questions retrieve </w:t>
      </w:r>
      <w:r>
        <w:rPr>
          <w:rFonts w:ascii="Times New Roman" w:hAnsi="Times New Roman"/>
          <w:i/>
          <w:sz w:val="20"/>
        </w:rPr>
        <w:t>confidently</w:t>
      </w:r>
      <w:r>
        <w:rPr>
          <w:rFonts w:ascii="Times New Roman" w:hAnsi="Times New Roman"/>
          <w:sz w:val="20"/>
        </w:rPr>
        <w:t>, because the scheme they name is real and its passages score highly — the false premise is a claim about the scheme, not about its existence. No threshold over retrieval scores can separate such a question from an answerable one, because at the score level they are identical. The same mechanism, weaker, explains near-miss at 0.143.</w:t>
      </w:r>
    </w:p>
    <w:p>
      <w:pPr>
        <w:spacing w:after="0"/>
        <w:ind w:firstLine="288"/>
        <w:jc w:val="both"/>
      </w:pPr>
      <w:r>
        <w:rPr>
          <w:rFonts w:ascii="Times New Roman" w:hAnsi="Times New Roman"/>
          <w:sz w:val="20"/>
        </w:rPr>
        <w:t xml:space="preserve">This is a limit of the signal rather than of its calibration, and it motivates the entailment check: deciding whether a </w:t>
      </w:r>
      <w:r>
        <w:rPr>
          <w:rFonts w:ascii="Times New Roman" w:hAnsi="Times New Roman"/>
          <w:i/>
          <w:sz w:val="20"/>
        </w:rPr>
        <w:t>specific claim</w:t>
      </w:r>
      <w:r>
        <w:rPr>
          <w:rFonts w:ascii="Times New Roman" w:hAnsi="Times New Roman"/>
          <w:sz w:val="20"/>
        </w:rPr>
        <w:t xml:space="preserve"> is supported by the retrieved passage is exactly the question a retrieval score does not ask. On the false-premise and near-miss cases where the threshold scores 0.000 and 0.143, NLI entailment identified the unanswerable item in 7 of 7 cases tested. Full results are reported with Module 4.</w:t>
      </w:r>
    </w:p>
    <w:p>
      <w:pPr>
        <w:spacing w:after="0"/>
        <w:ind w:firstLine="288"/>
        <w:jc w:val="both"/>
      </w:pPr>
      <w:r>
        <w:rPr>
          <w:rFonts w:ascii="Times New Roman" w:hAnsi="Times New Roman"/>
          <w:sz w:val="20"/>
        </w:rPr>
        <w:t>An aggregate F1 of 0.376 would have read as "needs tuning" and sent us to re-fit the threshold. The per-class table says that no value of the threshold would have helped.</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Categories that are genuinely about generation, such as amounts and dates, are comparatively rare in this sample, which is itself informative: on this corpus the generator is not the bottleneck.</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one encoder pair.</w:t>
      </w:r>
      <w:r>
        <w:rPr>
          <w:rFonts w:ascii="Times New Roman" w:hAnsi="Times New Roman"/>
          <w:sz w:val="20"/>
        </w:rPr>
        <w:t xml:space="preserve"> Script-aware fusion is evaluated over BM25 and multilingual-e5-base. As §VI-F reports, LaBSE used alone outperforms that fused system on the code-mixed slice by a wide margin (0.332 against 0.173), which means that on code-mixed queries a better encoder choice beats correcting the fusion over a weaker one. The correction is orthogonal to encoder choice and could be applied over LaBSE; we have not tested that combination, and until we do, our results establish that script-aware fusion repairs a specific defect in rank fusion, not that the resulting system is the strongest available configuration.</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w:t>
      </w:r>
      <w:r>
        <w:rPr>
          <w:rFonts w:ascii="Times New Roman" w:hAnsi="Times New Roman"/>
          <w:sz w:val="20"/>
        </w:rPr>
        <w:t xml:space="preserve"> It is calibrated on the development split and reaches 0.000 recall on the false-premise class, which is a property of the signal rather than of the calibration: a false-premise question retrieves confidently, because the scheme it names is real and its passages score highly, and no retrieval-score threshold can separate it from an answerable question. We therefore evaluate a natural-language-inference signal alongside it, which addresses exactly this class.</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