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and a sealed test split of 216 answerable questions, Reciprocal Rank Fusion reaches 0.274 Recall@5 on cross-lingual queries against 0.661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it recovers 0.685 cross-lingual Recall@5 (+0.411 over plain RRF, p = 0.0001) at no monolingual cost, though its gain over the dense retriever alone is small (+0.030 overall) and significant only on code-mixed queries. For abstention, the BM25 top score separates answerable from unanswerable questions (AUC 0.791) while the fused score does not, and it catches only half of near-miss questions. We release a 393-item bilingual QA set with a query-language × evidence-language matrix and a four-class unanswerable taxonomy, verified by a language model rather than a person, and say so on every result.</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the verified test split of our corpus, plain RRF reaches 0.274 Recall@5 on cross-lingual queries while its own dense retriever, used alone, reaches 0.661.</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0.274 to 0.685 (p = 0.0001) with no measurable cost on monolingual queries (0.964 against 0.964). What it does not do is beat the dense retriever alone by much: +0.030 overall (p = 0.052), and significantly only on code-mixed queries (+0.085, p = 0.004). The contribution is removing a harm that standard fusion introduces, not a large gain over a strong dense baseline, and we report it as such.</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393 items over Indian government welfare schemes, with an explicit query-language × evidence-language matrix covering six cells, a four-class unanswerable taxonomy, per-item gold passage sets, and a sealed dev/test split. It was verified by a language model in two independent passes rather than by a person, which we disclose on every report built from it (§III-D, §IX).</w:t>
      </w:r>
    </w:p>
    <w:p>
      <w:pPr>
        <w:pStyle w:val="ListBullet"/>
        <w:spacing w:after="0"/>
      </w:pPr>
      <w:r>
        <w:rPr>
          <w:rFonts w:ascii="Times New Roman" w:hAnsi="Times New Roman"/>
          <w:b/>
          <w:sz w:val="20"/>
        </w:rPr>
        <w:t>Which retrieval score carries an abstention signal.</w:t>
      </w:r>
      <w:r>
        <w:rPr>
          <w:rFonts w:ascii="Times New Roman" w:hAnsi="Times New Roman"/>
          <w:sz w:val="20"/>
        </w:rPr>
        <w:t xml:space="preserve"> On verified questions the BM25 top score separates answerable from unanswerable (medians 25.5 against 13.8, AUC 0.791; test F1 0.525), while the rank-fused score does not (0.0328 against 0.0325), because rank fusion discards magnitudes. A threshold on the lexical score rejects every out-of-scope question and about half of near-misses — questions about a covered scheme asking for a fact it does not state — which only a reader of the passage can catch. Before verification the same measurement showed no signal at all; malformed questions had hidden it, and we report both.</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b/>
          <w:sz w:val="20"/>
        </w:rPr>
        <w:t>Three further metadata defects, and why they went unseen.</w:t>
      </w:r>
      <w:r>
        <w:rPr>
          <w:rFonts w:ascii="Times New Roman" w:hAnsi="Times New Roman"/>
          <w:sz w:val="20"/>
        </w:rPr>
        <w:t xml:space="preserve"> Auditing the remaining per-passage invariants found that </w:t>
      </w:r>
      <w:r>
        <w:rPr>
          <w:rFonts w:ascii="Consolas" w:hAnsi="Consolas"/>
          <w:sz w:val="17"/>
        </w:rPr>
        <w:t>section_path</w:t>
      </w:r>
      <w:r>
        <w:rPr>
          <w:rFonts w:ascii="Times New Roman" w:hAnsi="Times New Roman"/>
          <w:sz w:val="20"/>
        </w:rPr>
        <w:t xml:space="preserve"> is not the only provenance field that does not mean what it says. 29 passages exceed the stated 240-token bound, one reaching 321. </w:t>
      </w:r>
      <w:r>
        <w:rPr>
          <w:rFonts w:ascii="Consolas" w:hAnsi="Consolas"/>
          <w:sz w:val="17"/>
        </w:rPr>
        <w:t>text_raw</w:t>
      </w:r>
      <w:r>
        <w:rPr>
          <w:rFonts w:ascii="Times New Roman" w:hAnsi="Times New Roman"/>
          <w:sz w:val="20"/>
        </w:rPr>
        <w:t xml:space="preserve">, documented as the source spelling kept alongside the normalized </w:t>
      </w:r>
      <w:r>
        <w:rPr>
          <w:rFonts w:ascii="Consolas" w:hAnsi="Consolas"/>
          <w:sz w:val="17"/>
        </w:rPr>
        <w:t>text</w:t>
      </w:r>
      <w:r>
        <w:rPr>
          <w:rFonts w:ascii="Times New Roman" w:hAnsi="Times New Roman"/>
          <w:sz w:val="20"/>
        </w:rPr>
        <w:t xml:space="preserve"> so that a cited amount is displayed as the circular wrote it, is itself normalized: 691 of 694 passages have a </w:t>
      </w:r>
      <w:r>
        <w:rPr>
          <w:rFonts w:ascii="Consolas" w:hAnsi="Consolas"/>
          <w:sz w:val="17"/>
        </w:rPr>
        <w:t>text_raw</w:t>
      </w:r>
      <w:r>
        <w:rPr>
          <w:rFonts w:ascii="Times New Roman" w:hAnsi="Times New Roman"/>
          <w:sz w:val="20"/>
        </w:rPr>
        <w:t xml:space="preserve"> that normalization leaves unchanged, and no Hindi passage retains the Devanagari digits its source uses. </w:t>
      </w:r>
      <w:r>
        <w:rPr>
          <w:rFonts w:ascii="Consolas" w:hAnsi="Consolas"/>
          <w:sz w:val="17"/>
        </w:rPr>
        <w:t>char_span</w:t>
      </w:r>
      <w:r>
        <w:rPr>
          <w:rFonts w:ascii="Times New Roman" w:hAnsi="Times New Roman"/>
          <w:sz w:val="20"/>
        </w:rPr>
        <w:t xml:space="preserve"> is worse still -- the segmenter advances its cursor by the normalized chunk length while searching raw source text, so the offsets drift monotonically within a document, and only 22.8% name a slice that recovers their own passage while 56 have drifted past the end and name nothing.</w:t>
      </w:r>
    </w:p>
    <w:p>
      <w:pPr>
        <w:spacing w:after="0"/>
        <w:ind w:firstLine="288"/>
        <w:jc w:val="both"/>
      </w:pPr>
      <w:r>
        <w:rPr>
          <w:rFonts w:ascii="Times New Roman" w:hAnsi="Times New Roman"/>
          <w:sz w:val="20"/>
        </w:rPr>
        <w:t xml:space="preserve">All three share the root cause the section-spanning defect has: segmentation splits sentences after normalizing a section and never keeps a mapping back to the source. They share something more instructive too. Every one of these fields is written, serialized, and documented, and </w:t>
      </w:r>
      <w:r>
        <w:rPr>
          <w:rFonts w:ascii="Times New Roman" w:hAnsi="Times New Roman"/>
          <w:i/>
          <w:sz w:val="20"/>
        </w:rPr>
        <w:t>read by nothing</w:t>
      </w:r>
      <w:r>
        <w:rPr>
          <w:rFonts w:ascii="Times New Roman" w:hAnsi="Times New Roman"/>
          <w:sz w:val="20"/>
        </w:rPr>
        <w:t xml:space="preserve"> -- so none of them could fail loudly, and a downstream citation view built on </w:t>
      </w:r>
      <w:r>
        <w:rPr>
          <w:rFonts w:ascii="Consolas" w:hAnsi="Consolas"/>
          <w:sz w:val="17"/>
        </w:rPr>
        <w:t>char_span</w:t>
      </w:r>
      <w:r>
        <w:rPr>
          <w:rFonts w:ascii="Times New Roman" w:hAnsi="Times New Roman"/>
          <w:sz w:val="20"/>
        </w:rPr>
        <w:t xml:space="preserve"> would have pointed a reader at the wrong text roughly four times in five. This is the same failure mode as §VI-D's uninstantiated NLI scorer and the unread </w:t>
      </w:r>
      <w:r>
        <w:rPr>
          <w:rFonts w:ascii="Consolas" w:hAnsi="Consolas"/>
          <w:sz w:val="17"/>
        </w:rPr>
        <w:t>cited_found</w:t>
      </w:r>
      <w:r>
        <w:rPr>
          <w:rFonts w:ascii="Times New Roman" w:hAnsi="Times New Roman"/>
          <w:sz w:val="20"/>
        </w:rPr>
        <w:t xml:space="preserve"> flag: not incorrect code that broke, but correct-looking code that no execution path ever reached. We therefore added </w:t>
      </w:r>
      <w:r>
        <w:rPr>
          <w:rFonts w:ascii="Consolas" w:hAnsi="Consolas"/>
          <w:sz w:val="17"/>
        </w:rPr>
        <w:t>corpus audit</w:t>
      </w:r>
      <w:r>
        <w:rPr>
          <w:rFonts w:ascii="Times New Roman" w:hAnsi="Times New Roman"/>
          <w:sz w:val="20"/>
        </w:rPr>
        <w:t>, which reads every one of these invariants and reports a per-check rate.</w:t>
      </w:r>
    </w:p>
    <w:p>
      <w:pPr>
        <w:spacing w:after="0"/>
        <w:ind w:firstLine="288"/>
        <w:jc w:val="both"/>
      </w:pPr>
      <w:r>
        <w:rPr>
          <w:rFonts w:ascii="Times New Roman" w:hAnsi="Times New Roman"/>
          <w:b/>
          <w:sz w:val="20"/>
        </w:rPr>
        <w:t>Repairing two of them without unfreezing the corpus.</w:t>
      </w:r>
      <w:r>
        <w:rPr>
          <w:rFonts w:ascii="Times New Roman" w:hAnsi="Times New Roman"/>
          <w:sz w:val="20"/>
        </w:rPr>
        <w:t xml:space="preserve"> The obvious fix -- re-running segmentation with a source-offset mapping -- is unavailable, because it would also apply the merge-guard correction and so change how many passages each document yields, shifting every identifier after the first merge. But the freeze protects </w:t>
      </w:r>
      <w:r>
        <w:rPr>
          <w:rFonts w:ascii="Consolas" w:hAnsi="Consolas"/>
          <w:sz w:val="17"/>
        </w:rPr>
        <w:t>passage_id</w:t>
      </w:r>
      <w:r>
        <w:rPr>
          <w:rFonts w:ascii="Times New Roman" w:hAnsi="Times New Roman"/>
          <w:sz w:val="20"/>
        </w:rPr>
        <w:t xml:space="preserve"> and </w:t>
      </w:r>
      <w:r>
        <w:rPr>
          <w:rFonts w:ascii="Consolas" w:hAnsi="Consolas"/>
          <w:sz w:val="17"/>
        </w:rPr>
        <w:t>text</w:t>
      </w:r>
      <w:r>
        <w:rPr>
          <w:rFonts w:ascii="Times New Roman" w:hAnsi="Times New Roman"/>
          <w:sz w:val="20"/>
        </w:rPr>
        <w:t xml:space="preserve">, and neither is what these two fields need. </w:t>
      </w:r>
      <w:r>
        <w:rPr>
          <w:rFonts w:ascii="Consolas" w:hAnsi="Consolas"/>
          <w:sz w:val="17"/>
        </w:rPr>
        <w:t>corpus repair-spans</w:t>
      </w:r>
      <w:r>
        <w:rPr>
          <w:rFonts w:ascii="Times New Roman" w:hAnsi="Times New Roman"/>
          <w:sz w:val="20"/>
        </w:rPr>
        <w:t xml:space="preserve"> therefore re-derives them in place: each passage's normalized text is aligned back to its source document and </w:t>
      </w:r>
      <w:r>
        <w:rPr>
          <w:rFonts w:ascii="Consolas" w:hAnsi="Consolas"/>
          <w:sz w:val="17"/>
        </w:rPr>
        <w:t>char_span</w:t>
      </w:r>
      <w:r>
        <w:rPr>
          <w:rFonts w:ascii="Times New Roman" w:hAnsi="Times New Roman"/>
          <w:sz w:val="20"/>
        </w:rPr>
        <w:t xml:space="preserve"> is set to the located extent, with </w:t>
      </w:r>
      <w:r>
        <w:rPr>
          <w:rFonts w:ascii="Consolas" w:hAnsi="Consolas"/>
          <w:sz w:val="17"/>
        </w:rPr>
        <w:t>text_raw</w:t>
      </w:r>
      <w:r>
        <w:rPr>
          <w:rFonts w:ascii="Times New Roman" w:hAnsi="Times New Roman"/>
          <w:sz w:val="20"/>
        </w:rPr>
        <w:t xml:space="preserve"> read from it. The alignment is sentence-wise rather than a single forward walk, because a passage is not always contiguous in its source -- overlap re-emits the tail of the previous chunk, so the same sentences can appear twice with the second copy sitting behind where the first ended. A single-run aligner scored 0.03 coverage on 39 passages that are in fact entirely present in their documents.</w:t>
      </w:r>
    </w:p>
    <w:p>
      <w:pPr>
        <w:spacing w:after="0"/>
        <w:ind w:firstLine="288"/>
        <w:jc w:val="both"/>
      </w:pPr>
      <w:r>
        <w:rPr>
          <w:rFonts w:ascii="Times New Roman" w:hAnsi="Times New Roman"/>
          <w:sz w:val="20"/>
        </w:rPr>
        <w:t xml:space="preserve">The repair refuses to write if any </w:t>
      </w:r>
      <w:r>
        <w:rPr>
          <w:rFonts w:ascii="Consolas" w:hAnsi="Consolas"/>
          <w:sz w:val="17"/>
        </w:rPr>
        <w:t>passage_id</w:t>
      </w:r>
      <w:r>
        <w:rPr>
          <w:rFonts w:ascii="Times New Roman" w:hAnsi="Times New Roman"/>
          <w:sz w:val="20"/>
        </w:rPr>
        <w:t xml:space="preserve">, </w:t>
      </w:r>
      <w:r>
        <w:rPr>
          <w:rFonts w:ascii="Consolas" w:hAnsi="Consolas"/>
          <w:sz w:val="17"/>
        </w:rPr>
        <w:t>text</w:t>
      </w:r>
      <w:r>
        <w:rPr>
          <w:rFonts w:ascii="Times New Roman" w:hAnsi="Times New Roman"/>
          <w:sz w:val="20"/>
        </w:rPr>
        <w:t xml:space="preserve"> or </w:t>
      </w:r>
      <w:r>
        <w:rPr>
          <w:rFonts w:ascii="Consolas" w:hAnsi="Consolas"/>
          <w:sz w:val="17"/>
        </w:rPr>
        <w:t>token_count</w:t>
      </w:r>
      <w:r>
        <w:rPr>
          <w:rFonts w:ascii="Times New Roman" w:hAnsi="Times New Roman"/>
          <w:sz w:val="20"/>
        </w:rPr>
        <w:t xml:space="preserve"> moved; none did, so no index, cache, gold reference or published number in this paper is affected. Span fidelity rises from 25.4% to 98.8% of the passages that carry a span, 99.1% carry one, and </w:t>
      </w:r>
      <w:r>
        <w:rPr>
          <w:rFonts w:ascii="Consolas" w:hAnsi="Consolas"/>
          <w:sz w:val="17"/>
        </w:rPr>
        <w:t>text_raw</w:t>
      </w:r>
      <w:r>
        <w:rPr>
          <w:rFonts w:ascii="Times New Roman" w:hAnsi="Times New Roman"/>
          <w:sz w:val="20"/>
        </w:rPr>
        <w:t xml:space="preserve"> now preserves source spelling for every passage -- 21 Hindi passages recover the Devanagari digits their sources use, which is exactly the fidelity the field was introduced to provide. The six passages the aligner cannot place have their span </w:t>
      </w:r>
      <w:r>
        <w:rPr>
          <w:rFonts w:ascii="Times New Roman" w:hAnsi="Times New Roman"/>
          <w:i/>
          <w:sz w:val="20"/>
        </w:rPr>
        <w:t>cleared</w:t>
      </w:r>
      <w:r>
        <w:rPr>
          <w:rFonts w:ascii="Times New Roman" w:hAnsi="Times New Roman"/>
          <w:sz w:val="20"/>
        </w:rPr>
        <w:t xml:space="preserve"> rather than left drifted, on the principle that an absent span is honest where a wrong one misleads; </w:t>
      </w:r>
      <w:r>
        <w:rPr>
          <w:rFonts w:ascii="Consolas" w:hAnsi="Consolas"/>
          <w:sz w:val="17"/>
        </w:rPr>
        <w:t>corpus audit</w:t>
      </w:r>
      <w:r>
        <w:rPr>
          <w:rFonts w:ascii="Times New Roman" w:hAnsi="Times New Roman"/>
          <w:sz w:val="20"/>
        </w:rPr>
        <w:t xml:space="preserve"> counts the two states separately so a repair cannot hide its misses among its refusals.</w:t>
      </w:r>
    </w:p>
    <w:p>
      <w:pPr>
        <w:spacing w:after="0"/>
        <w:ind w:firstLine="288"/>
        <w:jc w:val="both"/>
      </w:pPr>
      <w:r>
        <w:rPr>
          <w:rFonts w:ascii="Times New Roman" w:hAnsi="Times New Roman"/>
          <w:sz w:val="20"/>
        </w:rPr>
        <w:t xml:space="preserve">That separation earned its keep immediately. The first version of the aligner declined 23 passages, and inspecting them showed every sentence of 20 of them aligning perfectly when searched from the start of the document: the search retried from the top only when a forward pass returned </w:t>
      </w:r>
      <w:r>
        <w:rPr>
          <w:rFonts w:ascii="Times New Roman" w:hAnsi="Times New Roman"/>
          <w:i/>
          <w:sz w:val="20"/>
        </w:rPr>
        <w:t>nothing</w:t>
      </w:r>
      <w:r>
        <w:rPr>
          <w:rFonts w:ascii="Times New Roman" w:hAnsi="Times New Roman"/>
          <w:sz w:val="20"/>
        </w:rPr>
        <w:t>, so a half-matching anchor found ahead of the cursor was committed to instead of the true match behind it. Retrying whenever the forward pass does poorly, rather than only when it fails outright, took the declines from 23 to 6. What remains unfixed is the third defect: the 29 oversized passages, and the welded ones whose span must swallow a heading to cover them, both require re-chunking and so wait on the same re-anchoring as the merge fix.</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(Verified 2026-09-23 — </w:t>
      </w:r>
      <w:r>
        <w:rPr>
          <w:rFonts w:ascii="Times New Roman" w:hAnsi="Times New Roman"/>
          <w:i/>
          <w:sz w:val="20"/>
        </w:rPr>
        <w:t>by a language model, not by a person</w:t>
      </w:r>
      <w:r>
        <w:rPr>
          <w:rFonts w:ascii="Times New Roman" w:hAnsi="Times New Roman"/>
          <w:i/>
          <w:sz w:val="20"/>
        </w:rPr>
        <w:t>; see the procedure below. 393 items survive, 7 were rejected.)</w:t>
      </w:r>
    </w:p>
    <w:p>
      <w:pPr>
        <w:spacing w:after="0"/>
        <w:ind w:firstLine="288"/>
        <w:jc w:val="both"/>
      </w:pPr>
      <w:r>
        <w:rPr>
          <w:rFonts w:ascii="Times New Roman" w:hAnsi="Times New Roman"/>
          <w:sz w:val="20"/>
        </w:rPr>
        <w:t xml:space="preserve">The set was built as 400 instances, 320 answerable and 80 unanswerable; after verification it holds 393, 313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 (verified; design target in parentheses)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69 (70)</w:t>
            </w:r>
          </w:p>
        </w:tc>
        <w:tc>
          <w:tcPr>
            <w:tcW w:type="dxa" w:w="2610"/>
          </w:tcPr>
          <w:p>
            <w:pPr>
              <w:spacing w:after="0"/>
            </w:pPr>
            <w:r>
              <w:rPr>
                <w:sz w:val="16"/>
              </w:rPr>
            </w:r>
            <w:r>
              <w:rPr>
                <w:rFonts w:ascii="Times New Roman" w:hAnsi="Times New Roman"/>
                <w:sz w:val="16"/>
              </w:rPr>
              <w:t>45 (45)</w:t>
            </w:r>
          </w:p>
        </w:tc>
        <w:tc>
          <w:tcPr>
            <w:tcW w:type="dxa" w:w="2610"/>
          </w:tcPr>
          <w:p>
            <w:pPr>
              <w:spacing w:after="0"/>
            </w:pPr>
            <w:r>
              <w:rPr>
                <w:sz w:val="16"/>
              </w:rPr>
            </w:r>
            <w:r>
              <w:rPr>
                <w:rFonts w:ascii="Times New Roman" w:hAnsi="Times New Roman"/>
                <w:sz w:val="16"/>
              </w:rPr>
              <w:t>114</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44 (45)</w:t>
            </w:r>
          </w:p>
        </w:tc>
        <w:tc>
          <w:tcPr>
            <w:tcW w:type="dxa" w:w="2610"/>
          </w:tcPr>
          <w:p>
            <w:pPr>
              <w:spacing w:after="0"/>
            </w:pPr>
            <w:r>
              <w:rPr>
                <w:sz w:val="16"/>
              </w:rPr>
            </w:r>
            <w:r>
              <w:rPr>
                <w:rFonts w:ascii="Times New Roman" w:hAnsi="Times New Roman"/>
                <w:sz w:val="16"/>
              </w:rPr>
              <w:t>59 (60)</w:t>
            </w:r>
          </w:p>
        </w:tc>
        <w:tc>
          <w:tcPr>
            <w:tcW w:type="dxa" w:w="2610"/>
          </w:tcPr>
          <w:p>
            <w:pPr>
              <w:spacing w:after="0"/>
            </w:pPr>
            <w:r>
              <w:rPr>
                <w:sz w:val="16"/>
              </w:rPr>
            </w:r>
            <w:r>
              <w:rPr>
                <w:rFonts w:ascii="Times New Roman" w:hAnsi="Times New Roman"/>
                <w:sz w:val="16"/>
              </w:rPr>
              <w:t>103</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51 (55)</w:t>
            </w:r>
          </w:p>
        </w:tc>
        <w:tc>
          <w:tcPr>
            <w:tcW w:type="dxa" w:w="2610"/>
          </w:tcPr>
          <w:p>
            <w:pPr>
              <w:spacing w:after="0"/>
            </w:pPr>
            <w:r>
              <w:rPr>
                <w:sz w:val="16"/>
              </w:rPr>
            </w:r>
            <w:r>
              <w:rPr>
                <w:rFonts w:ascii="Times New Roman" w:hAnsi="Times New Roman"/>
                <w:sz w:val="16"/>
              </w:rPr>
              <w:t>45 (45)</w:t>
            </w:r>
          </w:p>
        </w:tc>
        <w:tc>
          <w:tcPr>
            <w:tcW w:type="dxa" w:w="2610"/>
          </w:tcPr>
          <w:p>
            <w:pPr>
              <w:spacing w:after="0"/>
            </w:pPr>
            <w:r>
              <w:rPr>
                <w:sz w:val="16"/>
              </w:rPr>
            </w:r>
            <w:r>
              <w:rPr>
                <w:rFonts w:ascii="Times New Roman" w:hAnsi="Times New Roman"/>
                <w:sz w:val="16"/>
              </w:rPr>
              <w:t>96</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164</w:t>
            </w:r>
          </w:p>
        </w:tc>
        <w:tc>
          <w:tcPr>
            <w:tcW w:type="dxa" w:w="2610"/>
          </w:tcPr>
          <w:p>
            <w:pPr>
              <w:spacing w:after="0"/>
            </w:pPr>
            <w:r>
              <w:rPr>
                <w:sz w:val="16"/>
              </w:rPr>
            </w:r>
            <w:r>
              <w:rPr>
                <w:rFonts w:ascii="Times New Roman" w:hAnsi="Times New Roman"/>
                <w:sz w:val="16"/>
              </w:rPr>
              <w:t>149</w:t>
            </w:r>
          </w:p>
        </w:tc>
        <w:tc>
          <w:tcPr>
            <w:tcW w:type="dxa" w:w="2610"/>
          </w:tcPr>
          <w:p>
            <w:pPr>
              <w:spacing w:after="0"/>
            </w:pPr>
            <w:r>
              <w:rPr>
                <w:sz w:val="16"/>
              </w:rPr>
            </w:r>
            <w:r>
              <w:rPr>
                <w:rFonts w:ascii="Times New Roman" w:hAnsi="Times New Roman"/>
                <w:b/>
                <w:sz w:val="16"/>
              </w:rPr>
              <w:t>313</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(128), where query and evidence share a language and script; </w:t>
      </w:r>
      <w:r>
        <w:rPr>
          <w:rFonts w:ascii="Times New Roman" w:hAnsi="Times New Roman"/>
          <w:b/>
          <w:sz w:val="20"/>
        </w:rPr>
        <w:t>cross-lingual</w:t>
      </w:r>
      <w:r>
        <w:rPr>
          <w:rFonts w:ascii="Times New Roman" w:hAnsi="Times New Roman"/>
          <w:sz w:val="20"/>
        </w:rPr>
        <w:t xml:space="preserve"> (89), different languages each in native script; and </w:t>
      </w:r>
      <w:r>
        <w:rPr>
          <w:rFonts w:ascii="Times New Roman" w:hAnsi="Times New Roman"/>
          <w:b/>
          <w:sz w:val="20"/>
        </w:rPr>
        <w:t>code-mixed</w:t>
      </w:r>
      <w:r>
        <w:rPr>
          <w:rFonts w:ascii="Times New Roman" w:hAnsi="Times New Roman"/>
          <w:sz w:val="20"/>
        </w:rPr>
        <w:t xml:space="preserve"> (96),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 xml:space="preserve">Candidates are bootstrapped with a locally hosted quantized model (Qwen2.5-3B-Instruct, Q4_K_M). The protocol specified that a person then verify each one. </w:t>
      </w:r>
      <w:r>
        <w:rPr>
          <w:rFonts w:ascii="Times New Roman" w:hAnsi="Times New Roman"/>
          <w:b/>
          <w:sz w:val="20"/>
        </w:rPr>
        <w:t>That is not what happened, and we say so plainly: the set was verified by a language model (Claude Opus 5.5), in two independent passes, and no item has been checked by a person.</w:t>
      </w:r>
      <w:r>
        <w:rPr>
          <w:rFonts w:ascii="Times New Roman" w:hAnsi="Times New Roman"/>
          <w:sz w:val="20"/>
        </w:rPr>
        <w:t xml:space="preserve"> The first pass read every item against its cited passage and proposed a correction or a rejection; it judged only 27 of the 320 bootstrapped answerable items correct as generated, found 63 gold answers the passage contradicts or does not state, and found 112 questions that were unreadable machine translation, almost all in the cross-lingual and Hinglish cells. The duplicated unanswerable stems (§III-E) and 7 rejected answerable items were replaced by newly written ones. A second pass, run by fresh model instances with no access to the first, then checked every item in its final form against its evidence and the passages a retriever returns for it, confirming 353 and making small corrections to 42. It rejected 5 — three because another passage in the corpus gives a conflicting figure, so the question has no single answer — and 2 more were dropped as duplicate questions. It also added, for 73 items, passages that state the same fact, most of them the other language's article (see below). Every verified item records </w:t>
      </w:r>
      <w:r>
        <w:rPr>
          <w:rFonts w:ascii="Consolas" w:hAnsi="Consolas"/>
          <w:sz w:val="17"/>
        </w:rPr>
        <w:t>annotator: model:…</w:t>
      </w:r>
      <w:r>
        <w:rPr>
          <w:rFonts w:ascii="Times New Roman" w:hAnsi="Times New Roman"/>
          <w:sz w:val="20"/>
        </w:rPr>
        <w:t>, and every report built on the set carries that disclosure in its banner. The figures in §VI are therefore model-verified, which is weaker than the human verification the protocol was designed around. The blind second pass (§IX) was likewise run by a model instance, and its κ = 1.000 over 59 items measures one model's consistency, not agreement between annotators.</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(verified set, n = 313):</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69</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0.239</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59</w:t>
            </w:r>
          </w:p>
        </w:tc>
        <w:tc>
          <w:tcPr>
            <w:tcW w:type="dxa" w:w="2088"/>
          </w:tcPr>
          <w:p>
            <w:pPr>
              <w:spacing w:after="0"/>
            </w:pPr>
            <w:r>
              <w:rPr>
                <w:sz w:val="16"/>
              </w:rPr>
            </w:r>
            <w:r>
              <w:rPr>
                <w:rFonts w:ascii="Times New Roman" w:hAnsi="Times New Roman"/>
                <w:sz w:val="16"/>
              </w:rPr>
              <w:t>0.094</w:t>
            </w:r>
          </w:p>
        </w:tc>
        <w:tc>
          <w:tcPr>
            <w:tcW w:type="dxa" w:w="2088"/>
          </w:tcPr>
          <w:p>
            <w:pPr>
              <w:spacing w:after="0"/>
            </w:pPr>
            <w:r>
              <w:rPr>
                <w:sz w:val="16"/>
              </w:rPr>
            </w:r>
            <w:r>
              <w:rPr>
                <w:rFonts w:ascii="Times New Roman" w:hAnsi="Times New Roman"/>
                <w:sz w:val="16"/>
              </w:rPr>
              <w:t>0.245</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51</w:t>
            </w:r>
          </w:p>
        </w:tc>
        <w:tc>
          <w:tcPr>
            <w:tcW w:type="dxa" w:w="2088"/>
          </w:tcPr>
          <w:p>
            <w:pPr>
              <w:spacing w:after="0"/>
            </w:pPr>
            <w:r>
              <w:rPr>
                <w:sz w:val="16"/>
              </w:rPr>
            </w:r>
            <w:r>
              <w:rPr>
                <w:rFonts w:ascii="Times New Roman" w:hAnsi="Times New Roman"/>
                <w:sz w:val="16"/>
              </w:rPr>
              <w:t>0.036</w:t>
            </w:r>
          </w:p>
        </w:tc>
        <w:tc>
          <w:tcPr>
            <w:tcW w:type="dxa" w:w="2088"/>
          </w:tcPr>
          <w:p>
            <w:pPr>
              <w:spacing w:after="0"/>
            </w:pPr>
            <w:r>
              <w:rPr>
                <w:sz w:val="16"/>
              </w:rPr>
            </w:r>
            <w:r>
              <w:rPr>
                <w:rFonts w:ascii="Times New Roman" w:hAnsi="Times New Roman"/>
                <w:sz w:val="16"/>
              </w:rPr>
              <w:t>0.129</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0.107</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44</w:t>
            </w:r>
          </w:p>
        </w:tc>
        <w:tc>
          <w:tcPr>
            <w:tcW w:type="dxa" w:w="2088"/>
          </w:tcPr>
          <w:p>
            <w:pPr>
              <w:spacing w:after="0"/>
            </w:pPr>
            <w:r>
              <w:rPr>
                <w:sz w:val="16"/>
              </w:rPr>
            </w:r>
            <w:r>
              <w:rPr>
                <w:rFonts w:ascii="Times New Roman" w:hAnsi="Times New Roman"/>
                <w:sz w:val="16"/>
              </w:rPr>
              <w:t>0.015</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0.038</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near zero because the two scripts share almost no tokens. That is the script boundary rather than evidence of annotation hygiene, so the figure that bears on leakage is the same-script one: </w:t>
      </w:r>
      <w:r>
        <w:rPr>
          <w:rFonts w:ascii="Times New Roman" w:hAnsi="Times New Roman"/>
          <w:b/>
          <w:sz w:val="20"/>
        </w:rPr>
        <w:t>median 0.077, max 0.245</w:t>
      </w:r>
      <w:r>
        <w:rPr>
          <w:rFonts w:ascii="Times New Roman" w:hAnsi="Times New Roman"/>
          <w:sz w:val="20"/>
        </w:rPr>
        <w:t xml:space="preserve"> over 179 items, against 0.066 and 0.340 before verification. The model rewrites of §III-D did not make questions copy their passages; the one cell whose overlap rose, hinglish→en (median 0.009 to 0.036), rose because rewritten questions name their scheme in English, which is how such questions are actually typed.</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but the low tertile is then mostly one language pair, so the split measures the pair rather than the overlap. Within each same-script cell, splitting at the median overlap instead: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+0.015</w:t>
            </w:r>
          </w:p>
        </w:tc>
        <w:tc>
          <w:tcPr>
            <w:tcW w:type="dxa" w:w="2610"/>
          </w:tcPr>
          <w:p>
            <w:pPr>
              <w:spacing w:after="0"/>
            </w:pPr>
            <w:r>
              <w:rPr>
                <w:sz w:val="16"/>
              </w:rPr>
            </w:r>
            <w:r>
              <w:rPr>
                <w:rFonts w:ascii="Times New Roman" w:hAnsi="Times New Roman"/>
                <w:sz w:val="16"/>
              </w:rPr>
              <w:t>+0.000</w:t>
            </w:r>
          </w:p>
        </w:tc>
        <w:tc>
          <w:tcPr>
            <w:tcW w:type="dxa" w:w="2610"/>
          </w:tcPr>
          <w:p>
            <w:pPr>
              <w:spacing w:after="0"/>
            </w:pPr>
            <w:r>
              <w:rPr>
                <w:sz w:val="16"/>
              </w:rPr>
            </w:r>
            <w:r>
              <w:rPr>
                <w:rFonts w:ascii="Times New Roman" w:hAnsi="Times New Roman"/>
                <w:sz w:val="16"/>
              </w:rPr>
              <w:t>−0.015</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−0.017</w:t>
            </w:r>
          </w:p>
        </w:tc>
        <w:tc>
          <w:tcPr>
            <w:tcW w:type="dxa" w:w="2610"/>
          </w:tcPr>
          <w:p>
            <w:pPr>
              <w:spacing w:after="0"/>
            </w:pPr>
            <w:r>
              <w:rPr>
                <w:sz w:val="16"/>
              </w:rPr>
            </w:r>
            <w:r>
              <w:rPr>
                <w:rFonts w:ascii="Times New Roman" w:hAnsi="Times New Roman"/>
                <w:sz w:val="16"/>
              </w:rPr>
              <w:t>+0.017</w:t>
            </w:r>
          </w:p>
        </w:tc>
        <w:tc>
          <w:tcPr>
            <w:tcW w:type="dxa" w:w="2610"/>
          </w:tcPr>
          <w:p>
            <w:pPr>
              <w:spacing w:after="0"/>
            </w:pPr>
            <w:r>
              <w:rPr>
                <w:sz w:val="16"/>
              </w:rPr>
            </w:r>
            <w:r>
              <w:rPr>
                <w:rFonts w:ascii="Times New Roman" w:hAnsi="Times New Roman"/>
                <w:sz w:val="16"/>
              </w:rPr>
              <w:t>+0.034</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+0.060</w:t>
            </w:r>
          </w:p>
        </w:tc>
        <w:tc>
          <w:tcPr>
            <w:tcW w:type="dxa" w:w="2610"/>
          </w:tcPr>
          <w:p>
            <w:pPr>
              <w:spacing w:after="0"/>
            </w:pPr>
            <w:r>
              <w:rPr>
                <w:sz w:val="16"/>
              </w:rPr>
            </w:r>
            <w:r>
              <w:rPr>
                <w:rFonts w:ascii="Times New Roman" w:hAnsi="Times New Roman"/>
                <w:sz w:val="16"/>
              </w:rPr>
              <w:t>+0.096</w:t>
            </w:r>
          </w:p>
        </w:tc>
        <w:tc>
          <w:tcPr>
            <w:tcW w:type="dxa" w:w="2610"/>
          </w:tcPr>
          <w:p>
            <w:pPr>
              <w:spacing w:after="0"/>
            </w:pPr>
            <w:r>
              <w:rPr>
                <w:sz w:val="16"/>
              </w:rPr>
            </w:r>
            <w:r>
              <w:rPr>
                <w:rFonts w:ascii="Times New Roman" w:hAnsi="Times New Roman"/>
                <w:sz w:val="16"/>
              </w:rPr>
              <w:t>+0.036</w:t>
            </w:r>
          </w:p>
        </w:tc>
      </w:tr>
    </w:tbl>
    <w:p>
      <w:pPr>
        <w:spacing w:after="40"/>
      </w:pPr>
    </w:p>
    <w:p>
      <w:pPr>
        <w:spacing w:after="0"/>
        <w:ind w:firstLine="288"/>
        <w:jc w:val="both"/>
      </w:pPr>
      <w:r>
        <w:rPr>
          <w:rFonts w:ascii="Times New Roman" w:hAnsi="Times New Roman"/>
          <w:sz w:val="20"/>
        </w:rPr>
        <w:t xml:space="preserve">No cell shows a lexical advantage that grows with overlap by more than a few points, and none of the within-half differences is significant (all p ≥ 0.25). Leakage is not detectable in the verified set.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keepNext/>
        <w:spacing w:before="120" w:after="40"/>
        <w:jc w:val="center"/>
      </w:pPr>
      <w:r>
        <w:drawing>
          <wp:inline xmlns:a="http://schemas.openxmlformats.org/drawingml/2006/main" xmlns:pic="http://schemas.openxmlformats.org/drawingml/2006/picture">
            <wp:extent cx="3200400" cy="1494717"/>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3200400" cy="1494717"/>
                    </a:xfrm>
                    <a:prstGeom prst="rect"/>
                  </pic:spPr>
                </pic:pic>
              </a:graphicData>
            </a:graphic>
          </wp:inline>
        </w:drawing>
      </w:r>
    </w:p>
    <w:p>
      <w:pPr>
        <w:spacing w:after="160"/>
        <w:jc w:val="both"/>
      </w:pPr>
      <w:r>
        <w:rPr>
          <w:rFonts w:ascii="Times New Roman" w:hAnsi="Times New Roman"/>
          <w:sz w:val="16"/>
        </w:rPr>
        <w:t>Fig. 1. System pipeline. Offline, once: Devanagari validation, segmentation, and lexical and dense indexing. Per query: language and script identification, script-aware fusion, generation constrained to the evidence, and an answerability decision. One path serves all three query types.</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 and normalization preserves both terminators, which is a precondition for that split rather than an incidental property, since segmentation normalizes a section before splitting it.</w:t>
      </w:r>
    </w:p>
    <w:p>
      <w:pPr>
        <w:spacing w:after="0"/>
        <w:ind w:firstLine="288"/>
        <w:jc w:val="both"/>
      </w:pPr>
      <w:r>
        <w:rPr>
          <w:rFonts w:ascii="Times New Roman" w:hAnsi="Times New Roman"/>
          <w:b/>
          <w:sz w:val="20"/>
        </w:rPr>
        <w:t>Where each equivalence actually applies.</w:t>
      </w:r>
      <w:r>
        <w:rPr>
          <w:rFonts w:ascii="Times New Roman" w:hAnsi="Times New Roman"/>
          <w:sz w:val="20"/>
        </w:rPr>
        <w:t xml:space="preserve"> Two of the three act on the retrieval path; amount canonicalisation does not. It is called by answer scoring and error analysis, not by the index tokenizer, so at retrieval time </w:t>
      </w:r>
      <w:r>
        <w:rPr>
          <w:rFonts w:ascii="Consolas" w:hAnsi="Consolas"/>
          <w:sz w:val="17"/>
        </w:rPr>
        <w:t>₹3.5 lakh</w:t>
      </w:r>
      <w:r>
        <w:rPr>
          <w:rFonts w:ascii="Times New Roman" w:hAnsi="Times New Roman"/>
          <w:sz w:val="20"/>
        </w:rPr>
        <w:t xml:space="preserve"> and </w:t>
      </w:r>
      <w:r>
        <w:rPr>
          <w:rFonts w:ascii="Consolas" w:hAnsi="Consolas"/>
          <w:sz w:val="17"/>
        </w:rPr>
        <w:t>3,50,000</w:t>
      </w:r>
      <w:r>
        <w:rPr>
          <w:rFonts w:ascii="Times New Roman" w:hAnsi="Times New Roman"/>
          <w:sz w:val="20"/>
        </w:rPr>
        <w:t xml:space="preserve"> share only the token </w:t>
      </w:r>
      <w:r>
        <w:rPr>
          <w:rFonts w:ascii="Consolas" w:hAnsi="Consolas"/>
          <w:sz w:val="17"/>
        </w:rPr>
        <w:t>3</w:t>
      </w:r>
      <w:r>
        <w:rPr>
          <w:rFonts w:ascii="Times New Roman" w:hAnsi="Times New Roman"/>
          <w:sz w:val="20"/>
        </w:rPr>
        <w:t xml:space="preserve">. We state this because the paragraph above would otherwise imply a matching benefit that the system does not deliver, and because 87 of the 313 answerable verified items carry an amount in the question. Supplying the canonical key to the tokenizer as well moves BM25 Recall@5 on those 87 items from 0.640 [0.534, 0.736] to 0.674 [0.567, 0.766], a paired difference of +0.034 at </w:t>
      </w:r>
      <w:r>
        <w:rPr>
          <w:rFonts w:ascii="Times New Roman" w:hAnsi="Times New Roman"/>
          <w:i/>
          <w:sz w:val="20"/>
        </w:rPr>
        <w:t>p</w:t>
      </w:r>
      <w:r>
        <w:rPr>
          <w:rFonts w:ascii="Times New Roman" w:hAnsi="Times New Roman"/>
          <w:sz w:val="20"/>
        </w:rPr>
        <w:t xml:space="preserve"> = 0.25, and +0.011 over all 313 (p = 0.13). The reason the gap costs so little is worth recording: the tokenizer splits on commas, so </w:t>
      </w:r>
      <w:r>
        <w:rPr>
          <w:rFonts w:ascii="Consolas" w:hAnsi="Consolas"/>
          <w:sz w:val="17"/>
        </w:rPr>
        <w:t>3,50,000</w:t>
      </w:r>
      <w:r>
        <w:rPr>
          <w:rFonts w:ascii="Times New Roman" w:hAnsi="Times New Roman"/>
          <w:sz w:val="20"/>
        </w:rPr>
        <w:t xml:space="preserve"> already fragments into </w:t>
      </w:r>
      <w:r>
        <w:rPr>
          <w:rFonts w:ascii="Consolas" w:hAnsi="Consolas"/>
          <w:sz w:val="17"/>
        </w:rPr>
        <w:t>3</w:t>
      </w:r>
      <w:r>
        <w:rPr>
          <w:rFonts w:ascii="Times New Roman" w:hAnsi="Times New Roman"/>
          <w:sz w:val="20"/>
        </w:rPr>
        <w:t xml:space="preserve">, </w:t>
      </w:r>
      <w:r>
        <w:rPr>
          <w:rFonts w:ascii="Consolas" w:hAnsi="Consolas"/>
          <w:sz w:val="17"/>
        </w:rPr>
        <w:t>50</w:t>
      </w:r>
      <w:r>
        <w:rPr>
          <w:rFonts w:ascii="Times New Roman" w:hAnsi="Times New Roman"/>
          <w:sz w:val="20"/>
        </w:rPr>
        <w:t xml:space="preserve"> and </w:t>
      </w:r>
      <w:r>
        <w:rPr>
          <w:rFonts w:ascii="Consolas" w:hAnsi="Consolas"/>
          <w:sz w:val="17"/>
        </w:rPr>
        <w:t>000</w:t>
      </w:r>
      <w:r>
        <w:rPr>
          <w:rFonts w:ascii="Times New Roman" w:hAnsi="Times New Roman"/>
          <w:sz w:val="20"/>
        </w:rPr>
        <w:t xml:space="preserve">, and the Devanagari form yields the same three subtokens once digits are mapped. Fragmentation supplies most of the equivalence incidentally, and the forms it does not cover — </w:t>
      </w:r>
      <w:r>
        <w:rPr>
          <w:rFonts w:ascii="Consolas" w:hAnsi="Consolas"/>
          <w:sz w:val="17"/>
        </w:rPr>
        <w:t>3.5 lakh</w:t>
      </w:r>
      <w:r>
        <w:rPr>
          <w:rFonts w:ascii="Times New Roman" w:hAnsi="Times New Roman"/>
          <w:sz w:val="20"/>
        </w:rPr>
        <w:t xml:space="preserve"> against </w:t>
      </w:r>
      <w:r>
        <w:rPr>
          <w:rFonts w:ascii="Consolas" w:hAnsi="Consolas"/>
          <w:sz w:val="17"/>
        </w:rPr>
        <w:t>3,50,000</w:t>
      </w:r>
      <w:r>
        <w:rPr>
          <w:rFonts w:ascii="Times New Roman" w:hAnsi="Times New Roman"/>
          <w:sz w:val="20"/>
        </w:rPr>
        <w:t xml:space="preserve"> — are the rarer ones.</w:t>
      </w:r>
    </w:p>
    <w:p>
      <w:pPr>
        <w:spacing w:after="0"/>
        <w:ind w:firstLine="288"/>
        <w:jc w:val="both"/>
      </w:pPr>
      <w:r>
        <w:rPr>
          <w:rFonts w:ascii="Times New Roman" w:hAnsi="Times New Roman"/>
          <w:sz w:val="20"/>
        </w:rPr>
        <w:t>The symmetry claim itself does hold, and not only by construction: the indexing path normalizes a passage a second time, with soft-wrap joining disabled, while a query is normalized once. Applying the second pass changes the token sequence of 0 of 694 passages, so the two paths agree in practice as well as in intent.</w:t>
      </w:r>
    </w:p>
    <w:p>
      <w:pPr>
        <w:spacing w:after="0"/>
        <w:ind w:firstLine="288"/>
        <w:jc w:val="both"/>
      </w:pPr>
      <w:r>
        <w:rPr>
          <w:rFonts w:ascii="Times New Roman" w:hAnsi="Times New Roman"/>
          <w:sz w:val="20"/>
        </w:rPr>
        <w:t>Original surface text is retained alongside the normalized form throughout, so that citations display what the document actually said — a property §III-C records as having been broken in the committed corpus until it was repaired.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Both min-max and z-score normalization are implemented, and we report the ablation rather than asserting the preference: the two are indistinguishable on the gold set, −0.003 Recall@5 for z-score at p = 1.00, and no point of the α sweep separates them by more than 0.013.</w:t>
      </w:r>
    </w:p>
    <w:p>
      <w:pPr>
        <w:spacing w:after="0"/>
        <w:ind w:firstLine="288"/>
        <w:jc w:val="both"/>
      </w:pPr>
      <w:r>
        <w:rPr>
          <w:rFonts w:ascii="Times New Roman" w:hAnsi="Times New Roman"/>
          <w:sz w:val="20"/>
        </w:rPr>
        <w:t>The reason usually given for preferring min-max — that BM25 scores are strongly right-skewed, so z-score leaves the fused ranking dominated by lexical outliers — holds in its premise and not in its consequence. BM25 candidate pools are right-skewed on 97.7% of queries (mean skewness 2.38), and the top candidate scores 2.86× the pool mean against 1.06× for the dense retriever. The fused ranking does not follow: z-score raises the lexical share of the top-1 fused score from 29.0% to 34.4%, and the share of top-5 slots held by passages the dense retriever never returned from 3.2% to 6.5%. The predicted direction is there; the magnitude never reaches the metric.</w:t>
      </w:r>
    </w:p>
    <w:p>
      <w:pPr>
        <w:spacing w:after="0"/>
        <w:ind w:firstLine="288"/>
        <w:jc w:val="both"/>
      </w:pPr>
      <w:r>
        <w:rPr>
          <w:rFonts w:ascii="Times New Roman" w:hAnsi="Times New Roman"/>
          <w:sz w:val="20"/>
        </w:rPr>
        <w:t xml:space="preserve">What separates the two normalizers is imputation, not skew. A passage returned by only one component contributes 0 from the other, and 0 is the floor of a min-max range but the mean of a z-scored one — an absent dense component ranks above 63% of the candidates it is compared against under z-score, and above none of them under min-max. We keep min-max because silence from a retriever should not be scored as an average opinion, which is a claim about what the fusion means rather than about what it measures. The ablation is </w:t>
      </w:r>
      <w:r>
        <w:rPr>
          <w:rFonts w:ascii="Consolas" w:hAnsi="Consolas"/>
          <w:sz w:val="17"/>
        </w:rPr>
        <w:t>evals/report-fusion-normalisation.txt</w:t>
      </w:r>
      <w:r>
        <w:rPr>
          <w:rFonts w:ascii="Times New Roman" w:hAnsi="Times New Roman"/>
          <w:sz w:val="20"/>
        </w:rPr>
        <w:t>.</w:t>
      </w:r>
    </w:p>
    <w:p>
      <w:pPr>
        <w:spacing w:after="0"/>
        <w:ind w:firstLine="288"/>
        <w:jc w:val="both"/>
      </w:pPr>
      <w:r>
        <w:rPr>
          <w:rFonts w:ascii="Times New Roman" w:hAnsi="Times New Roman"/>
          <w:sz w:val="20"/>
        </w:rPr>
        <w:t>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sz w:val="20"/>
        </w:rPr>
        <w:t xml:space="preserve">The split was sealed on 2026-09-23 over the 393 verified items: </w:t>
      </w:r>
      <w:r>
        <w:rPr>
          <w:rFonts w:ascii="Times New Roman" w:hAnsi="Times New Roman"/>
          <w:b/>
          <w:sz w:val="20"/>
        </w:rPr>
        <w:t>dev 120, test 273</w:t>
      </w:r>
      <w:r>
        <w:rPr>
          <w:rFonts w:ascii="Times New Roman" w:hAnsi="Times New Roman"/>
          <w:sz w:val="20"/>
        </w:rPr>
        <w:t>, stratified by query language, answerability and scheme with largest-remainder allocation. The answerability threshold is fitted on dev and reported on test. The retrieval configuration — α = 0.4, RRF k = 60, 50 candidates per component, the primary encoder — was fixed before the gold set existed and was not tuned on it, so retrieval is reported on test (Table in §VI-A) and, where the analysis needs the power, on dev and test together; the section says which. Figures from the earlier unverified set and from synthetic probes are marked as such where they are kept for comparison.</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Headline results on the verified gold set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after="0"/>
        <w:ind w:firstLine="288"/>
        <w:jc w:val="both"/>
      </w:pPr>
      <w:r>
        <w:rPr>
          <w:rFonts w:ascii="Times New Roman" w:hAnsi="Times New Roman"/>
          <w:b/>
          <w:sz w:val="20"/>
        </w:rPr>
        <w:t>TABLE II — Recall@5 on the test split (216 answerable questions), with 95% bootstrap intervals</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System</w:t>
            </w:r>
          </w:p>
        </w:tc>
        <w:tc>
          <w:tcPr>
            <w:tcW w:type="dxa" w:w="2088"/>
          </w:tcPr>
          <w:p>
            <w:pPr>
              <w:spacing w:after="0"/>
            </w:pPr>
            <w:r/>
            <w:r>
              <w:rPr>
                <w:rFonts w:ascii="Times New Roman" w:hAnsi="Times New Roman"/>
                <w:b/>
                <w:sz w:val="16"/>
              </w:rPr>
              <w:t>all</w:t>
            </w:r>
          </w:p>
        </w:tc>
        <w:tc>
          <w:tcPr>
            <w:tcW w:type="dxa" w:w="2088"/>
          </w:tcPr>
          <w:p>
            <w:pPr>
              <w:spacing w:after="0"/>
            </w:pPr>
            <w:r/>
            <w:r>
              <w:rPr>
                <w:rFonts w:ascii="Times New Roman" w:hAnsi="Times New Roman"/>
                <w:b/>
                <w:sz w:val="16"/>
              </w:rPr>
              <w:t>monolingual (83)</w:t>
            </w:r>
          </w:p>
        </w:tc>
        <w:tc>
          <w:tcPr>
            <w:tcW w:type="dxa" w:w="2088"/>
          </w:tcPr>
          <w:p>
            <w:pPr>
              <w:spacing w:after="0"/>
            </w:pPr>
            <w:r/>
            <w:r>
              <w:rPr>
                <w:rFonts w:ascii="Times New Roman" w:hAnsi="Times New Roman"/>
                <w:b/>
                <w:sz w:val="16"/>
              </w:rPr>
              <w:t>cross-lingual (62)</w:t>
            </w:r>
          </w:p>
        </w:tc>
        <w:tc>
          <w:tcPr>
            <w:tcW w:type="dxa" w:w="2088"/>
          </w:tcPr>
          <w:p>
            <w:pPr>
              <w:spacing w:after="0"/>
            </w:pPr>
            <w:r/>
            <w:r>
              <w:rPr>
                <w:rFonts w:ascii="Times New Roman" w:hAnsi="Times New Roman"/>
                <w:b/>
                <w:sz w:val="16"/>
              </w:rPr>
              <w:t>code-mixed (71)</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0.581 [0.519, 0.646]</w:t>
            </w:r>
          </w:p>
        </w:tc>
        <w:tc>
          <w:tcPr>
            <w:tcW w:type="dxa" w:w="2088"/>
          </w:tcPr>
          <w:p>
            <w:pPr>
              <w:spacing w:after="0"/>
            </w:pPr>
            <w:r>
              <w:rPr>
                <w:sz w:val="16"/>
              </w:rPr>
            </w:r>
            <w:r>
              <w:rPr>
                <w:rFonts w:ascii="Times New Roman" w:hAnsi="Times New Roman"/>
                <w:sz w:val="16"/>
              </w:rPr>
              <w:t>0.970</w:t>
            </w:r>
          </w:p>
        </w:tc>
        <w:tc>
          <w:tcPr>
            <w:tcW w:type="dxa" w:w="2088"/>
          </w:tcPr>
          <w:p>
            <w:pPr>
              <w:spacing w:after="0"/>
            </w:pPr>
            <w:r>
              <w:rPr>
                <w:sz w:val="16"/>
              </w:rPr>
            </w:r>
            <w:r>
              <w:rPr>
                <w:rFonts w:ascii="Times New Roman" w:hAnsi="Times New Roman"/>
                <w:sz w:val="16"/>
              </w:rPr>
              <w:t>0.153</w:t>
            </w:r>
          </w:p>
        </w:tc>
        <w:tc>
          <w:tcPr>
            <w:tcW w:type="dxa" w:w="2088"/>
          </w:tcPr>
          <w:p>
            <w:pPr>
              <w:spacing w:after="0"/>
            </w:pPr>
            <w:r>
              <w:rPr>
                <w:sz w:val="16"/>
              </w:rPr>
            </w:r>
            <w:r>
              <w:rPr>
                <w:rFonts w:ascii="Times New Roman" w:hAnsi="Times New Roman"/>
                <w:sz w:val="16"/>
              </w:rPr>
              <w:t>0.500</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0.593</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0.185</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sz w:val="16"/>
              </w:rPr>
              <w:t>multilingual-e5-base</w:t>
            </w:r>
          </w:p>
        </w:tc>
        <w:tc>
          <w:tcPr>
            <w:tcW w:type="dxa" w:w="2088"/>
          </w:tcPr>
          <w:p>
            <w:pPr>
              <w:spacing w:after="0"/>
            </w:pPr>
            <w:r>
              <w:rPr>
                <w:sz w:val="16"/>
              </w:rPr>
            </w:r>
            <w:r>
              <w:rPr>
                <w:rFonts w:ascii="Times New Roman" w:hAnsi="Times New Roman"/>
                <w:sz w:val="16"/>
              </w:rPr>
              <w:t>0.720 [0.660, 0.775]</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0.661</w:t>
            </w:r>
          </w:p>
        </w:tc>
        <w:tc>
          <w:tcPr>
            <w:tcW w:type="dxa" w:w="2088"/>
          </w:tcPr>
          <w:p>
            <w:pPr>
              <w:spacing w:after="0"/>
            </w:pPr>
            <w:r>
              <w:rPr>
                <w:sz w:val="16"/>
              </w:rPr>
            </w:r>
            <w:r>
              <w:rPr>
                <w:rFonts w:ascii="Times New Roman" w:hAnsi="Times New Roman"/>
                <w:sz w:val="16"/>
              </w:rPr>
              <w:t>0.472</w:t>
            </w:r>
          </w:p>
        </w:tc>
      </w:tr>
      <w:tr>
        <w:tc>
          <w:tcPr>
            <w:tcW w:type="dxa" w:w="2088"/>
          </w:tcPr>
          <w:p>
            <w:pPr>
              <w:spacing w:after="0"/>
            </w:pPr>
            <w:r>
              <w:rPr>
                <w:sz w:val="16"/>
              </w:rPr>
            </w:r>
            <w:r>
              <w:rPr>
                <w:rFonts w:ascii="Times New Roman" w:hAnsi="Times New Roman"/>
                <w:sz w:val="16"/>
              </w:rPr>
              <w:t>LaBSE</w:t>
            </w:r>
          </w:p>
        </w:tc>
        <w:tc>
          <w:tcPr>
            <w:tcW w:type="dxa" w:w="2088"/>
          </w:tcPr>
          <w:p>
            <w:pPr>
              <w:spacing w:after="0"/>
            </w:pPr>
            <w:r>
              <w:rPr>
                <w:sz w:val="16"/>
              </w:rPr>
            </w:r>
            <w:r>
              <w:rPr>
                <w:rFonts w:ascii="Times New Roman" w:hAnsi="Times New Roman"/>
                <w:sz w:val="16"/>
              </w:rPr>
              <w:t>0.485</w:t>
            </w:r>
          </w:p>
        </w:tc>
        <w:tc>
          <w:tcPr>
            <w:tcW w:type="dxa" w:w="2088"/>
          </w:tcPr>
          <w:p>
            <w:pPr>
              <w:spacing w:after="0"/>
            </w:pPr>
            <w:r>
              <w:rPr>
                <w:sz w:val="16"/>
              </w:rPr>
            </w:r>
            <w:r>
              <w:rPr>
                <w:rFonts w:ascii="Times New Roman" w:hAnsi="Times New Roman"/>
                <w:sz w:val="16"/>
              </w:rPr>
              <w:t>0.655</w:t>
            </w:r>
          </w:p>
        </w:tc>
        <w:tc>
          <w:tcPr>
            <w:tcW w:type="dxa" w:w="2088"/>
          </w:tcPr>
          <w:p>
            <w:pPr>
              <w:spacing w:after="0"/>
            </w:pPr>
            <w:r>
              <w:rPr>
                <w:sz w:val="16"/>
              </w:rPr>
            </w:r>
            <w:r>
              <w:rPr>
                <w:rFonts w:ascii="Times New Roman" w:hAnsi="Times New Roman"/>
                <w:sz w:val="16"/>
              </w:rPr>
              <w:t>0.540</w:t>
            </w:r>
          </w:p>
        </w:tc>
        <w:tc>
          <w:tcPr>
            <w:tcW w:type="dxa" w:w="2088"/>
          </w:tcPr>
          <w:p>
            <w:pPr>
              <w:spacing w:after="0"/>
            </w:pPr>
            <w:r>
              <w:rPr>
                <w:sz w:val="16"/>
              </w:rPr>
            </w:r>
            <w:r>
              <w:rPr>
                <w:rFonts w:ascii="Times New Roman" w:hAnsi="Times New Roman"/>
                <w:sz w:val="16"/>
              </w:rPr>
              <w:t>0.239</w:t>
            </w:r>
          </w:p>
        </w:tc>
      </w:tr>
      <w:tr>
        <w:tc>
          <w:tcPr>
            <w:tcW w:type="dxa" w:w="2088"/>
          </w:tcPr>
          <w:p>
            <w:pPr>
              <w:spacing w:after="0"/>
            </w:pPr>
            <w:r>
              <w:rPr>
                <w:sz w:val="16"/>
              </w:rPr>
            </w:r>
            <w:r>
              <w:rPr>
                <w:rFonts w:ascii="Times New Roman" w:hAnsi="Times New Roman"/>
                <w:sz w:val="16"/>
              </w:rPr>
              <w:t>MiniLM-L12</w:t>
            </w:r>
          </w:p>
        </w:tc>
        <w:tc>
          <w:tcPr>
            <w:tcW w:type="dxa" w:w="2088"/>
          </w:tcPr>
          <w:p>
            <w:pPr>
              <w:spacing w:after="0"/>
            </w:pPr>
            <w:r>
              <w:rPr>
                <w:sz w:val="16"/>
              </w:rPr>
            </w:r>
            <w:r>
              <w:rPr>
                <w:rFonts w:ascii="Times New Roman" w:hAnsi="Times New Roman"/>
                <w:sz w:val="16"/>
              </w:rPr>
              <w:t>0.478</w:t>
            </w:r>
          </w:p>
        </w:tc>
        <w:tc>
          <w:tcPr>
            <w:tcW w:type="dxa" w:w="2088"/>
          </w:tcPr>
          <w:p>
            <w:pPr>
              <w:spacing w:after="0"/>
            </w:pPr>
            <w:r>
              <w:rPr>
                <w:sz w:val="16"/>
              </w:rPr>
            </w:r>
            <w:r>
              <w:rPr>
                <w:rFonts w:ascii="Times New Roman" w:hAnsi="Times New Roman"/>
                <w:sz w:val="16"/>
              </w:rPr>
              <w:t>0.624</w:t>
            </w:r>
          </w:p>
        </w:tc>
        <w:tc>
          <w:tcPr>
            <w:tcW w:type="dxa" w:w="2088"/>
          </w:tcPr>
          <w:p>
            <w:pPr>
              <w:spacing w:after="0"/>
            </w:pPr>
            <w:r>
              <w:rPr>
                <w:sz w:val="16"/>
              </w:rPr>
            </w:r>
            <w:r>
              <w:rPr>
                <w:rFonts w:ascii="Times New Roman" w:hAnsi="Times New Roman"/>
                <w:sz w:val="16"/>
              </w:rPr>
              <w:t>0.605</w:t>
            </w:r>
          </w:p>
        </w:tc>
        <w:tc>
          <w:tcPr>
            <w:tcW w:type="dxa" w:w="2088"/>
          </w:tcPr>
          <w:p>
            <w:pPr>
              <w:spacing w:after="0"/>
            </w:pPr>
            <w:r>
              <w:rPr>
                <w:sz w:val="16"/>
              </w:rPr>
            </w:r>
            <w:r>
              <w:rPr>
                <w:rFonts w:ascii="Times New Roman" w:hAnsi="Times New Roman"/>
                <w:sz w:val="16"/>
              </w:rPr>
              <w:t>0.195</w:t>
            </w:r>
          </w:p>
        </w:tc>
      </w:tr>
      <w:tr>
        <w:tc>
          <w:tcPr>
            <w:tcW w:type="dxa" w:w="2088"/>
          </w:tcPr>
          <w:p>
            <w:pPr>
              <w:spacing w:after="0"/>
            </w:pPr>
            <w:r>
              <w:rPr>
                <w:sz w:val="16"/>
              </w:rPr>
            </w:r>
            <w:r>
              <w:rPr>
                <w:rFonts w:ascii="Times New Roman" w:hAnsi="Times New Roman"/>
                <w:sz w:val="16"/>
              </w:rPr>
              <w:t>MuRIL (mean pooling)</w:t>
            </w:r>
          </w:p>
        </w:tc>
        <w:tc>
          <w:tcPr>
            <w:tcW w:type="dxa" w:w="2088"/>
          </w:tcPr>
          <w:p>
            <w:pPr>
              <w:spacing w:after="0"/>
            </w:pPr>
            <w:r>
              <w:rPr>
                <w:sz w:val="16"/>
              </w:rPr>
            </w:r>
            <w:r>
              <w:rPr>
                <w:rFonts w:ascii="Times New Roman" w:hAnsi="Times New Roman"/>
                <w:sz w:val="16"/>
              </w:rPr>
              <w:t>0.265</w:t>
            </w:r>
          </w:p>
        </w:tc>
        <w:tc>
          <w:tcPr>
            <w:tcW w:type="dxa" w:w="2088"/>
          </w:tcPr>
          <w:p>
            <w:pPr>
              <w:spacing w:after="0"/>
            </w:pPr>
            <w:r>
              <w:rPr>
                <w:sz w:val="16"/>
              </w:rPr>
            </w:r>
            <w:r>
              <w:rPr>
                <w:rFonts w:ascii="Times New Roman" w:hAnsi="Times New Roman"/>
                <w:sz w:val="16"/>
              </w:rPr>
              <w:t>0.582</w:t>
            </w:r>
          </w:p>
        </w:tc>
        <w:tc>
          <w:tcPr>
            <w:tcW w:type="dxa" w:w="2088"/>
          </w:tcPr>
          <w:p>
            <w:pPr>
              <w:spacing w:after="0"/>
            </w:pPr>
            <w:r>
              <w:rPr>
                <w:sz w:val="16"/>
              </w:rPr>
            </w:r>
            <w:r>
              <w:rPr>
                <w:rFonts w:ascii="Times New Roman" w:hAnsi="Times New Roman"/>
                <w:sz w:val="16"/>
              </w:rPr>
              <w:t>0.048</w:t>
            </w:r>
          </w:p>
        </w:tc>
        <w:tc>
          <w:tcPr>
            <w:tcW w:type="dxa" w:w="2088"/>
          </w:tcPr>
          <w:p>
            <w:pPr>
              <w:spacing w:after="0"/>
            </w:pPr>
            <w:r>
              <w:rPr>
                <w:sz w:val="16"/>
              </w:rPr>
            </w:r>
            <w:r>
              <w:rPr>
                <w:rFonts w:ascii="Times New Roman" w:hAnsi="Times New Roman"/>
                <w:sz w:val="16"/>
              </w:rPr>
              <w:t>0.082</w:t>
            </w:r>
          </w:p>
        </w:tc>
      </w:tr>
      <w:tr>
        <w:tc>
          <w:tcPr>
            <w:tcW w:type="dxa" w:w="2088"/>
          </w:tcPr>
          <w:p>
            <w:pPr>
              <w:spacing w:after="0"/>
            </w:pPr>
            <w:r>
              <w:rPr>
                <w:sz w:val="16"/>
              </w:rPr>
            </w:r>
            <w:r>
              <w:rPr>
                <w:rFonts w:ascii="Times New Roman" w:hAnsi="Times New Roman"/>
                <w:sz w:val="16"/>
              </w:rPr>
              <w:t>Hybrid, weighted α = 0.4</w:t>
            </w:r>
          </w:p>
        </w:tc>
        <w:tc>
          <w:tcPr>
            <w:tcW w:type="dxa" w:w="2088"/>
          </w:tcPr>
          <w:p>
            <w:pPr>
              <w:spacing w:after="0"/>
            </w:pPr>
            <w:r>
              <w:rPr>
                <w:sz w:val="16"/>
              </w:rPr>
            </w:r>
            <w:r>
              <w:rPr>
                <w:rFonts w:ascii="Times New Roman" w:hAnsi="Times New Roman"/>
                <w:sz w:val="16"/>
              </w:rPr>
              <w:t>0.688</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0.484</w:t>
            </w:r>
          </w:p>
        </w:tc>
        <w:tc>
          <w:tcPr>
            <w:tcW w:type="dxa" w:w="2088"/>
          </w:tcPr>
          <w:p>
            <w:pPr>
              <w:spacing w:after="0"/>
            </w:pPr>
            <w:r>
              <w:rPr>
                <w:sz w:val="16"/>
              </w:rPr>
            </w:r>
            <w:r>
              <w:rPr>
                <w:rFonts w:ascii="Times New Roman" w:hAnsi="Times New Roman"/>
                <w:sz w:val="16"/>
              </w:rPr>
              <w:t>0.528</w:t>
            </w:r>
          </w:p>
        </w:tc>
      </w:tr>
      <w:tr>
        <w:tc>
          <w:tcPr>
            <w:tcW w:type="dxa" w:w="2088"/>
          </w:tcPr>
          <w:p>
            <w:pPr>
              <w:spacing w:after="0"/>
            </w:pPr>
            <w:r>
              <w:rPr>
                <w:sz w:val="16"/>
              </w:rPr>
            </w:r>
            <w:r>
              <w:rPr>
                <w:rFonts w:ascii="Times New Roman" w:hAnsi="Times New Roman"/>
                <w:sz w:val="16"/>
              </w:rPr>
              <w:t>Hybrid, plain RRF</w:t>
            </w:r>
          </w:p>
        </w:tc>
        <w:tc>
          <w:tcPr>
            <w:tcW w:type="dxa" w:w="2088"/>
          </w:tcPr>
          <w:p>
            <w:pPr>
              <w:spacing w:after="0"/>
            </w:pPr>
            <w:r>
              <w:rPr>
                <w:sz w:val="16"/>
              </w:rPr>
            </w:r>
            <w:r>
              <w:rPr>
                <w:rFonts w:ascii="Times New Roman" w:hAnsi="Times New Roman"/>
                <w:sz w:val="16"/>
              </w:rPr>
              <w:t>0.618 [0.556, 0.681]</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0.274</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b/>
                <w:sz w:val="16"/>
              </w:rPr>
              <w:t>Hybrid, script-aware RRF</w:t>
            </w:r>
          </w:p>
        </w:tc>
        <w:tc>
          <w:tcPr>
            <w:tcW w:type="dxa" w:w="2088"/>
          </w:tcPr>
          <w:p>
            <w:pPr>
              <w:spacing w:after="0"/>
            </w:pPr>
            <w:r>
              <w:rPr>
                <w:sz w:val="16"/>
              </w:rPr>
            </w:r>
            <w:r>
              <w:rPr>
                <w:rFonts w:ascii="Times New Roman" w:hAnsi="Times New Roman"/>
                <w:b/>
                <w:sz w:val="16"/>
              </w:rPr>
              <w:t>0.750</w:t>
            </w:r>
            <w:r>
              <w:rPr>
                <w:rFonts w:ascii="Times New Roman" w:hAnsi="Times New Roman"/>
                <w:sz w:val="16"/>
              </w:rPr>
              <w:t xml:space="preserve"> [0.692, 0.806]</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b/>
                <w:sz w:val="16"/>
              </w:rPr>
              <w:t>0.685</w:t>
            </w:r>
          </w:p>
        </w:tc>
        <w:tc>
          <w:tcPr>
            <w:tcW w:type="dxa" w:w="2088"/>
          </w:tcPr>
          <w:p>
            <w:pPr>
              <w:spacing w:after="0"/>
            </w:pPr>
            <w:r>
              <w:rPr>
                <w:sz w:val="16"/>
              </w:rPr>
            </w:r>
            <w:r>
              <w:rPr>
                <w:rFonts w:ascii="Times New Roman" w:hAnsi="Times New Roman"/>
                <w:b/>
                <w:sz w:val="16"/>
              </w:rPr>
              <w:t>0.556</w:t>
            </w:r>
          </w:p>
        </w:tc>
      </w:tr>
    </w:tbl>
    <w:p>
      <w:pPr>
        <w:spacing w:after="40"/>
      </w:pPr>
    </w:p>
    <w:p>
      <w:pPr>
        <w:spacing w:after="0"/>
        <w:ind w:firstLine="288"/>
        <w:jc w:val="both"/>
      </w:pPr>
      <w:r>
        <w:rPr>
          <w:rFonts w:ascii="Times New Roman" w:hAnsi="Times New Roman"/>
          <w:sz w:val="20"/>
        </w:rPr>
        <w:t>Three findings carry the paper, and the verified set confirms the first two more cleanly than any earlier measurement and qualifies the third.</w:t>
      </w:r>
    </w:p>
    <w:p>
      <w:pPr>
        <w:spacing w:after="0"/>
        <w:ind w:firstLine="288"/>
        <w:jc w:val="both"/>
      </w:pPr>
      <w:r>
        <w:rPr>
          <w:rFonts w:ascii="Times New Roman" w:hAnsi="Times New Roman"/>
          <w:b/>
          <w:sz w:val="20"/>
        </w:rPr>
        <w:t>Lexical retrieval does not cross the language boundary.</w:t>
      </w:r>
      <w:r>
        <w:rPr>
          <w:rFonts w:ascii="Times New Roman" w:hAnsi="Times New Roman"/>
          <w:sz w:val="20"/>
        </w:rPr>
        <w:t xml:space="preserve"> BM25 reaches 0.970 on monolingual questions and 0.153 on cross-lingual ones. MuRIL, pretrained on Indic text but not trained for retrieval, reaches 0.048. Figure 2 plots the breakdown.</w:t>
      </w:r>
    </w:p>
    <w:p>
      <w:pPr>
        <w:keepNext/>
        <w:spacing w:before="120" w:after="40"/>
        <w:jc w:val="center"/>
      </w:pPr>
      <w:r>
        <w:drawing>
          <wp:inline xmlns:a="http://schemas.openxmlformats.org/drawingml/2006/main" xmlns:pic="http://schemas.openxmlformats.org/drawingml/2006/picture">
            <wp:extent cx="3200400" cy="1436014"/>
            <wp:docPr id="2" name="Picture 2"/>
            <wp:cNvGraphicFramePr>
              <a:graphicFrameLocks noChangeAspect="1"/>
            </wp:cNvGraphicFramePr>
            <a:graphic>
              <a:graphicData uri="http://schemas.openxmlformats.org/drawingml/2006/picture">
                <pic:pic>
                  <pic:nvPicPr>
                    <pic:cNvPr id="0" name="fig2-by-language-group.png"/>
                    <pic:cNvPicPr/>
                  </pic:nvPicPr>
                  <pic:blipFill>
                    <a:blip r:embed="rId10"/>
                    <a:stretch>
                      <a:fillRect/>
                    </a:stretch>
                  </pic:blipFill>
                  <pic:spPr>
                    <a:xfrm>
                      <a:off x="0" y="0"/>
                      <a:ext cx="3200400" cy="1436014"/>
                    </a:xfrm>
                    <a:prstGeom prst="rect"/>
                  </pic:spPr>
                </pic:pic>
              </a:graphicData>
            </a:graphic>
          </wp:inline>
        </w:drawing>
      </w:r>
    </w:p>
    <w:p>
      <w:pPr>
        <w:spacing w:after="160"/>
        <w:jc w:val="both"/>
      </w:pPr>
      <w:r>
        <w:rPr>
          <w:rFonts w:ascii="Times New Roman" w:hAnsi="Times New Roman"/>
          <w:sz w:val="16"/>
        </w:rPr>
        <w:t>Fig. 2. Recall@5 by language group on the test split (216 answerable questions). Lexical retrieval collapses across the script boundary; MuRIL, pretrained on Indic text but not for retrieval, barely crosses it.</w:t>
      </w:r>
    </w:p>
    <w:p>
      <w:pPr>
        <w:spacing w:after="0"/>
        <w:ind w:firstLine="288"/>
        <w:jc w:val="both"/>
      </w:pPr>
      <w:r>
        <w:rPr>
          <w:rFonts w:ascii="Times New Roman" w:hAnsi="Times New Roman"/>
          <w:b/>
          <w:sz w:val="20"/>
        </w:rPr>
        <w:t>Plain fusion destroys the dense retriever's cross-lingual recall, and the script-aware correction restores it.</w:t>
      </w:r>
      <w:r>
        <w:rPr>
          <w:rFonts w:ascii="Times New Roman" w:hAnsi="Times New Roman"/>
          <w:sz w:val="20"/>
        </w:rPr>
        <w:t xml:space="preserve"> Plain RRF over BM25 and e5-base reaches 0.274 on cross-lingual questions, against 0.661 for the dense retriever it contains: adding a lexical retriever that cannot see across the script boundary costs the hybrid system more than half of what its dense half finds. Script-aware fusion, which stops docking a passage for the lexical retriever's blindness to its script (§IV-E), recovers 0.685. Paired against plain RRF it gains +0.411 on the cross-lingual slice and +0.132 overall (both p = 0.0001, n = 62 and 216), and costs nothing monolingually (0.964 against 0.964). This is the result the method was designed around, and it is larger on the verified test split than on the probes (+0.131) or on the unverified set (+0.389 on the pooled items).</w:t>
      </w:r>
    </w:p>
    <w:p>
      <w:pPr>
        <w:spacing w:after="0"/>
        <w:ind w:firstLine="288"/>
        <w:jc w:val="both"/>
      </w:pPr>
      <w:r>
        <w:rPr>
          <w:rFonts w:ascii="Times New Roman" w:hAnsi="Times New Roman"/>
          <w:b/>
          <w:sz w:val="20"/>
        </w:rPr>
        <w:t>Against dense retrieval alone, the gain is small, and significant only on code-mixed questions.</w:t>
      </w:r>
      <w:r>
        <w:rPr>
          <w:rFonts w:ascii="Times New Roman" w:hAnsi="Times New Roman"/>
          <w:sz w:val="20"/>
        </w:rPr>
        <w:t xml:space="preserve"> This is where the verified set changes the story. Before verification, script-aware fusion beat e5-base alone by +0.133 on cross-lingual questions and +0.081 overall. On the test split it is +0.024 cross-lingually (p = 0.62) and +0.030 overall (p = 0.052); the only significant gain is on code-mixed questions, +0.085 (p = 0.0037), where Romanized questions carrying English scheme names give the lexical retriever something real to contribute. Pooling dev and test for power, the overall gain is +0.027 (p = 0.021). The margin shrank when verification rewrote 112 garbled questions, most of them in the cross-lingual and code-mixed cells; our reading is that fusion was partly compensating for questions a dense retriever could not match because they did not say what they asked, though the rewrite and the relabelling changed too much at once to isolate that cause. On well-formed questions, a strong multilingual dense retriever alone does nearly as well as the corrected hybrid. Figure 3 shows both comparisons on every slice.</w:t>
      </w:r>
    </w:p>
    <w:p>
      <w:pPr>
        <w:keepNext/>
        <w:spacing w:before="120" w:after="40"/>
        <w:jc w:val="center"/>
      </w:pPr>
      <w:r>
        <w:drawing>
          <wp:inline xmlns:a="http://schemas.openxmlformats.org/drawingml/2006/main" xmlns:pic="http://schemas.openxmlformats.org/drawingml/2006/picture">
            <wp:extent cx="3200400" cy="1495330"/>
            <wp:docPr id="3" name="Picture 3"/>
            <wp:cNvGraphicFramePr>
              <a:graphicFrameLocks noChangeAspect="1"/>
            </wp:cNvGraphicFramePr>
            <a:graphic>
              <a:graphicData uri="http://schemas.openxmlformats.org/drawingml/2006/picture">
                <pic:pic>
                  <pic:nvPicPr>
                    <pic:cNvPr id="0" name="fig3-fusion-goldset.png"/>
                    <pic:cNvPicPr/>
                  </pic:nvPicPr>
                  <pic:blipFill>
                    <a:blip r:embed="rId11"/>
                    <a:stretch>
                      <a:fillRect/>
                    </a:stretch>
                  </pic:blipFill>
                  <pic:spPr>
                    <a:xfrm>
                      <a:off x="0" y="0"/>
                      <a:ext cx="3200400" cy="1495330"/>
                    </a:xfrm>
                    <a:prstGeom prst="rect"/>
                  </pic:spPr>
                </pic:pic>
              </a:graphicData>
            </a:graphic>
          </wp:inline>
        </w:drawing>
      </w:r>
    </w:p>
    <w:p>
      <w:pPr>
        <w:spacing w:after="160"/>
        <w:jc w:val="both"/>
      </w:pPr>
      <w:r>
        <w:rPr>
          <w:rFonts w:ascii="Times New Roman" w:hAnsi="Times New Roman"/>
          <w:sz w:val="16"/>
        </w:rPr>
        <w:t>Fig. 3. Script-aware fusion on the test split, against plain RRF (the repair) and against dense retrieval alone (whether fusing is worth it), with paired randomization-test p-values.</w:t>
      </w:r>
    </w:p>
    <w:p>
      <w:pPr>
        <w:spacing w:after="0"/>
        <w:ind w:firstLine="288"/>
        <w:jc w:val="both"/>
      </w:pPr>
      <w:r>
        <w:rPr>
          <w:rFonts w:ascii="Times New Roman" w:hAnsi="Times New Roman"/>
          <w:sz w:val="20"/>
        </w:rPr>
        <w:t>So the claim this paper can make is specific. Hybrid retrieval assembled the standard way is actively harmful across scripts, the harm is structural, and a change of arithmetic removes it at no cost. Whether hybrid retrieval is worth assembling at all, over a good dense retriever alone, is a closer call than we reported before verification: it helps on code-mixed queries and is otherwise within noise.</w:t>
      </w:r>
    </w:p>
    <w:p>
      <w:pPr>
        <w:spacing w:after="0"/>
        <w:ind w:firstLine="288"/>
        <w:jc w:val="both"/>
      </w:pPr>
      <w:r>
        <w:rPr>
          <w:rFonts w:ascii="Times New Roman" w:hAnsi="Times New Roman"/>
          <w:b/>
          <w:sz w:val="20"/>
        </w:rPr>
        <w:t>Weighted fusion does not help at any weighting.</w:t>
      </w:r>
      <w:r>
        <w:rPr>
          <w:rFonts w:ascii="Times New Roman" w:hAnsi="Times New Roman"/>
          <w:sz w:val="20"/>
        </w:rPr>
        <w:t xml:space="preserve"> Sweeping α over e5-base and BM25, no interior weighting beats pure dense on the test split (best α = 0.1 at 0.720, equal to α = 0; Figure 4), and none does on the pooled set (0.728 at α = 0.1 against 0.736). H2, in its weighted-fusion form, is not supported. An earlier version of this section reported the opposite; that sweep used the wrong dense encoder for its endpoint, and was corrected before verification.</w:t>
      </w:r>
    </w:p>
    <w:p>
      <w:pPr>
        <w:keepNext/>
        <w:spacing w:before="120" w:after="40"/>
        <w:jc w:val="center"/>
      </w:pPr>
      <w:r>
        <w:drawing>
          <wp:inline xmlns:a="http://schemas.openxmlformats.org/drawingml/2006/main" xmlns:pic="http://schemas.openxmlformats.org/drawingml/2006/picture">
            <wp:extent cx="3200400" cy="1999367"/>
            <wp:docPr id="4" name="Picture 4"/>
            <wp:cNvGraphicFramePr>
              <a:graphicFrameLocks noChangeAspect="1"/>
            </wp:cNvGraphicFramePr>
            <a:graphic>
              <a:graphicData uri="http://schemas.openxmlformats.org/drawingml/2006/picture">
                <pic:pic>
                  <pic:nvPicPr>
                    <pic:cNvPr id="0" name="fig4-alpha-sweep.png"/>
                    <pic:cNvPicPr/>
                  </pic:nvPicPr>
                  <pic:blipFill>
                    <a:blip r:embed="rId12"/>
                    <a:stretch>
                      <a:fillRect/>
                    </a:stretch>
                  </pic:blipFill>
                  <pic:spPr>
                    <a:xfrm>
                      <a:off x="0" y="0"/>
                      <a:ext cx="3200400" cy="1999367"/>
                    </a:xfrm>
                    <a:prstGeom prst="rect"/>
                  </pic:spPr>
                </pic:pic>
              </a:graphicData>
            </a:graphic>
          </wp:inline>
        </w:drawing>
      </w:r>
    </w:p>
    <w:p>
      <w:pPr>
        <w:spacing w:after="160"/>
        <w:jc w:val="both"/>
      </w:pPr>
      <w:r>
        <w:rPr>
          <w:rFonts w:ascii="Times New Roman" w:hAnsi="Times New Roman"/>
          <w:sz w:val="16"/>
        </w:rPr>
        <w:t>Fig. 4. Weighted fusion of BM25 and e5-base across α on the test split. No weighting beats pure dense; script-aware RRF, drawn for reference, does -- by changing how ranks combine rather than how much each retriever counts.</w:t>
      </w:r>
    </w:p>
    <w:p>
      <w:pPr>
        <w:spacing w:before="200" w:after="80"/>
        <w:jc w:val="left"/>
      </w:pPr>
      <w:r>
        <w:rPr>
          <w:rFonts w:ascii="Times New Roman" w:hAnsi="Times New Roman"/>
          <w:i/>
          <w:sz w:val="20"/>
        </w:rPr>
        <w:t>A.1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Applying the same correction over each dense retriever (pooled dev and test, 313 questions):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0.736</w:t>
            </w:r>
          </w:p>
        </w:tc>
        <w:tc>
          <w:tcPr>
            <w:tcW w:type="dxa" w:w="2610"/>
          </w:tcPr>
          <w:p>
            <w:pPr>
              <w:spacing w:after="0"/>
            </w:pPr>
            <w:r>
              <w:rPr>
                <w:sz w:val="16"/>
              </w:rPr>
            </w:r>
            <w:r>
              <w:rPr>
                <w:rFonts w:ascii="Times New Roman" w:hAnsi="Times New Roman"/>
                <w:b/>
                <w:sz w:val="16"/>
              </w:rPr>
              <w:t>0.764</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0.504</w:t>
            </w:r>
          </w:p>
        </w:tc>
        <w:tc>
          <w:tcPr>
            <w:tcW w:type="dxa" w:w="2610"/>
          </w:tcPr>
          <w:p>
            <w:pPr>
              <w:spacing w:after="0"/>
            </w:pPr>
            <w:r>
              <w:rPr>
                <w:sz w:val="16"/>
              </w:rPr>
            </w:r>
            <w:r>
              <w:rPr>
                <w:rFonts w:ascii="Times New Roman" w:hAnsi="Times New Roman"/>
                <w:sz w:val="16"/>
              </w:rPr>
              <w:t>0.666</w:t>
            </w:r>
          </w:p>
        </w:tc>
        <w:tc>
          <w:tcPr>
            <w:tcW w:type="dxa" w:w="2610"/>
          </w:tcPr>
          <w:p>
            <w:pPr>
              <w:spacing w:after="0"/>
            </w:pPr>
            <w:r>
              <w:rPr>
                <w:sz w:val="16"/>
              </w:rPr>
            </w:r>
            <w:r>
              <w:rPr>
                <w:rFonts w:ascii="Times New Roman" w:hAnsi="Times New Roman"/>
                <w:sz w:val="16"/>
              </w:rPr>
              <w:t>+0.162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0.512</w:t>
            </w:r>
          </w:p>
        </w:tc>
        <w:tc>
          <w:tcPr>
            <w:tcW w:type="dxa" w:w="2610"/>
          </w:tcPr>
          <w:p>
            <w:pPr>
              <w:spacing w:after="0"/>
            </w:pPr>
            <w:r>
              <w:rPr>
                <w:sz w:val="16"/>
              </w:rPr>
            </w:r>
            <w:r>
              <w:rPr>
                <w:rFonts w:ascii="Times New Roman" w:hAnsi="Times New Roman"/>
                <w:sz w:val="16"/>
              </w:rPr>
              <w:t>0.597</w:t>
            </w:r>
          </w:p>
        </w:tc>
        <w:tc>
          <w:tcPr>
            <w:tcW w:type="dxa" w:w="2610"/>
          </w:tcPr>
          <w:p>
            <w:pPr>
              <w:spacing w:after="0"/>
            </w:pPr>
            <w:r>
              <w:rPr>
                <w:sz w:val="16"/>
              </w:rPr>
            </w:r>
            <w:r>
              <w:rPr>
                <w:rFonts w:ascii="Times New Roman" w:hAnsi="Times New Roman"/>
                <w:sz w:val="16"/>
              </w:rPr>
              <w:t>+0.085</w:t>
            </w:r>
          </w:p>
        </w:tc>
      </w:tr>
    </w:tbl>
    <w:p>
      <w:pPr>
        <w:spacing w:after="40"/>
      </w:pPr>
    </w:p>
    <w:p>
      <w:pPr>
        <w:spacing w:after="0"/>
        <w:ind w:firstLine="288"/>
        <w:jc w:val="both"/>
      </w:pPr>
      <w:r>
        <w:rPr>
          <w:rFonts w:ascii="Times New Roman" w:hAnsi="Times New Roman"/>
          <w:sz w:val="20"/>
        </w:rPr>
        <w:t>Fusion improves every one, and the weaker the dense retriever the more the lexical half contributes once it is no longer allowed to penalise what it cannot see. Fusing over e5-base remains the best configuration: fusing over MiniLM is worse by 0.097 and over LaBSE by 0.167 overall (both p ≤ 0.0003). MiniLM's fusion leads the cross-lingual slice (0.736 against 0.669) but not significantly (p = 0.26), and loses heavily on every other slice.</w:t>
      </w:r>
    </w:p>
    <w:p>
      <w:pPr>
        <w:spacing w:before="200" w:after="80"/>
        <w:jc w:val="left"/>
      </w:pPr>
      <w:r>
        <w:rPr>
          <w:rFonts w:ascii="Times New Roman" w:hAnsi="Times New Roman"/>
          <w:i/>
          <w:sz w:val="20"/>
        </w:rPr>
        <w:t>A.2 What the probe-set sections below do and do not show</w:t>
      </w:r>
    </w:p>
    <w:p>
      <w:pPr>
        <w:spacing w:after="0"/>
        <w:ind w:firstLine="288"/>
        <w:jc w:val="both"/>
      </w:pPr>
      <w:r>
        <w:rPr>
          <w:rFonts w:ascii="Times New Roman" w:hAnsi="Times New Roman"/>
          <w:sz w:val="20"/>
        </w:rPr>
        <w:t>§VI-B to §VI-F were measured on 180 synthetic probes, 120 of them monolingual and many lifting phrasing directly from their target passage, which flatters lexical retrieval. They are kept because they are where the fusion penalty was first found and diagnosed (§VIII), and the mechanism they describe — zero lexical recall across a script boundary, and a fusion rule that docks passages for it — is structural and is confirmed above. Their magnitudes are not the paper's results. Where they disagree with Table II, Table II stands; in particular §VI-F's observation that LaBSE leads the code-mixed slice does not hold on real questions (LaBSE 0.239 against 0.500 for BM25 and 0.556 for script-aware fusion).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Lexical retrieval does not cross the language boundary at all: BM25 scores 0.740 monolingual and 0.006 cross-lingual — a factor of more than a hundred. The verified test split (Table II, Figure 2) has the same shape at less extreme magnitudes, 0.970 against 0.153, because real questions carry scheme names and numbers that occasionally survive the script change.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5 plots the table, with the monolingual regression on the same axes as the gains rather than in a separate panel.</w:t>
      </w:r>
    </w:p>
    <w:p>
      <w:pPr>
        <w:keepNext/>
        <w:spacing w:before="120" w:after="40"/>
        <w:jc w:val="center"/>
      </w:pPr>
      <w:r>
        <w:drawing>
          <wp:inline xmlns:a="http://schemas.openxmlformats.org/drawingml/2006/main" xmlns:pic="http://schemas.openxmlformats.org/drawingml/2006/picture">
            <wp:extent cx="3200400" cy="1436014"/>
            <wp:docPr id="5" name="Picture 5"/>
            <wp:cNvGraphicFramePr>
              <a:graphicFrameLocks noChangeAspect="1"/>
            </wp:cNvGraphicFramePr>
            <a:graphic>
              <a:graphicData uri="http://schemas.openxmlformats.org/drawingml/2006/picture">
                <pic:pic>
                  <pic:nvPicPr>
                    <pic:cNvPr id="0" name="fig5-fusion-probes.png"/>
                    <pic:cNvPicPr/>
                  </pic:nvPicPr>
                  <pic:blipFill>
                    <a:blip r:embed="rId13"/>
                    <a:stretch>
                      <a:fillRect/>
                    </a:stretch>
                  </pic:blipFill>
                  <pic:spPr>
                    <a:xfrm>
                      <a:off x="0" y="0"/>
                      <a:ext cx="3200400" cy="1436014"/>
                    </a:xfrm>
                    <a:prstGeom prst="rect"/>
                  </pic:spPr>
                </pic:pic>
              </a:graphicData>
            </a:graphic>
          </wp:inline>
        </w:drawing>
      </w:r>
    </w:p>
    <w:p>
      <w:pPr>
        <w:spacing w:after="160"/>
        <w:jc w:val="both"/>
      </w:pPr>
      <w:r>
        <w:rPr>
          <w:rFonts w:ascii="Times New Roman" w:hAnsi="Times New Roman"/>
          <w:sz w:val="16"/>
        </w:rPr>
        <w:t>Fig. 5. [PROBE] Script-aware against plain RRF on the 180 synthetic probes, where the mechanism was found. The monolingual cost shown here does not appear on the verified set (Figure 3).</w:t>
      </w:r>
    </w:p>
    <w:p>
      <w:pPr>
        <w:spacing w:after="0"/>
        <w:ind w:firstLine="288"/>
        <w:jc w:val="both"/>
      </w:pPr>
      <w:r>
        <w:rPr>
          <w:rFonts w:ascii="Times New Roman" w:hAnsi="Times New Roman"/>
          <w:sz w:val="20"/>
        </w:rPr>
        <w:t>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which on the probes found no interior weighting significantly better than the better endpoint (the best, α = 0.4, was +0.025 over pure lexical at p = 0.13) and recorded the hybrid hypothesis as unsupported. That verdict was correct about weighted fusion, and on the verified set no weighting beats pure dense at all (Figure 4). Whether hybrid retrieval beats its components once fusion stops penalising passages for their script is answered in §VI-A: it does on code-mixed queries, and is within noise elsewhere.</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§VI-A.1 does so on the verified set: fusion over LaBSE gains +0.085 over LaBSE alone, and remains well below fusion over e5-base.</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On the probes that suggested selecting the encoder by query </w:t>
      </w:r>
      <w:r>
        <w:rPr>
          <w:rFonts w:ascii="Times New Roman" w:hAnsi="Times New Roman"/>
          <w:i/>
          <w:sz w:val="20"/>
        </w:rPr>
        <w:t>script</w:t>
      </w:r>
      <w:r>
        <w:rPr>
          <w:rFonts w:ascii="Times New Roman" w:hAnsi="Times New Roman"/>
          <w:sz w:val="20"/>
        </w:rPr>
        <w:t xml:space="preserve"> rather than by language coverage. It did not survive the gold set (§VI-A.2): on verified code-mixed questions LaBSE reaches 0.239, against 0.500 for BM25 and 0.556 for script-aware fusion. We have not tested why the probes favoured it; the verification pass respelled the code-mixed questions, which changed their wording as well as their quality, so the two cannot be separated.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On the verified set whether it works depends on which score it thresholds, and this reverses the finding we reported before verification.</w:t>
      </w:r>
    </w:p>
    <w:p>
      <w:pPr>
        <w:spacing w:after="0"/>
        <w:ind w:firstLine="288"/>
        <w:jc w:val="both"/>
      </w:pPr>
      <w:r>
        <w:rPr>
          <w:rFonts w:ascii="Times New Roman" w:hAnsi="Times New Roman"/>
          <w:sz w:val="20"/>
        </w:rPr>
        <w:t>All figures below fit the threshold, or the calibrated combination of §IV-F, on the 120-item dev split and report on the 273-item test split (57 unanswerable, a base rate of 0.21).</w:t>
      </w:r>
    </w:p>
    <w:p>
      <w:pPr>
        <w:spacing w:after="0"/>
        <w:ind w:firstLine="288"/>
        <w:jc w:val="both"/>
      </w:pPr>
      <w:r>
        <w:rPr>
          <w:rFonts w:ascii="Times New Roman" w:hAnsi="Times New Roman"/>
          <w:b/>
          <w:sz w:val="20"/>
        </w:rPr>
        <w:t>TABLE III — Answerability on the test split, UNANSWERABLE as the positive class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score</w:t>
            </w:r>
          </w:p>
        </w:tc>
        <w:tc>
          <w:tcPr>
            <w:tcW w:type="dxa" w:w="1740"/>
          </w:tcPr>
          <w:p>
            <w:pPr>
              <w:spacing w:after="0"/>
            </w:pPr>
            <w:r/>
            <w:r>
              <w:rPr>
                <w:rFonts w:ascii="Times New Roman" w:hAnsi="Times New Roman"/>
                <w:b/>
                <w:sz w:val="16"/>
              </w:rPr>
              <w:t>test F1</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abstains on</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BM25 top score</w:t>
            </w:r>
          </w:p>
        </w:tc>
        <w:tc>
          <w:tcPr>
            <w:tcW w:type="dxa" w:w="1740"/>
          </w:tcPr>
          <w:p>
            <w:pPr>
              <w:spacing w:after="0"/>
            </w:pPr>
            <w:r>
              <w:rPr>
                <w:sz w:val="16"/>
              </w:rPr>
            </w:r>
            <w:r>
              <w:rPr>
                <w:rFonts w:ascii="Times New Roman" w:hAnsi="Times New Roman"/>
                <w:b/>
                <w:sz w:val="16"/>
              </w:rPr>
              <w:t>0.525</w:t>
            </w:r>
          </w:p>
        </w:tc>
        <w:tc>
          <w:tcPr>
            <w:tcW w:type="dxa" w:w="1740"/>
          </w:tcPr>
          <w:p>
            <w:pPr>
              <w:spacing w:after="0"/>
            </w:pPr>
            <w:r>
              <w:rPr>
                <w:sz w:val="16"/>
              </w:rPr>
            </w:r>
            <w:r>
              <w:rPr>
                <w:rFonts w:ascii="Times New Roman" w:hAnsi="Times New Roman"/>
                <w:sz w:val="16"/>
              </w:rPr>
              <w:t>0.408</w:t>
            </w:r>
          </w:p>
        </w:tc>
        <w:tc>
          <w:tcPr>
            <w:tcW w:type="dxa" w:w="1740"/>
          </w:tcPr>
          <w:p>
            <w:pPr>
              <w:spacing w:after="0"/>
            </w:pPr>
            <w:r>
              <w:rPr>
                <w:sz w:val="16"/>
              </w:rPr>
            </w:r>
            <w:r>
              <w:rPr>
                <w:rFonts w:ascii="Times New Roman" w:hAnsi="Times New Roman"/>
                <w:sz w:val="16"/>
              </w:rPr>
              <w:t>0.737</w:t>
            </w:r>
          </w:p>
        </w:tc>
        <w:tc>
          <w:tcPr>
            <w:tcW w:type="dxa" w:w="1740"/>
          </w:tcPr>
          <w:p>
            <w:pPr>
              <w:spacing w:after="0"/>
            </w:pPr>
            <w:r>
              <w:rPr>
                <w:sz w:val="16"/>
              </w:rPr>
            </w:r>
            <w:r>
              <w:rPr>
                <w:rFonts w:ascii="Times New Roman" w:hAnsi="Times New Roman"/>
                <w:sz w:val="16"/>
              </w:rPr>
              <w:t>38%</w:t>
            </w:r>
          </w:p>
        </w:tc>
      </w:tr>
      <w:tr>
        <w:tc>
          <w:tcPr>
            <w:tcW w:type="dxa" w:w="1740"/>
          </w:tcPr>
          <w:p>
            <w:pPr>
              <w:spacing w:after="0"/>
            </w:pPr>
            <w:r>
              <w:rPr>
                <w:sz w:val="16"/>
              </w:rPr>
            </w:r>
            <w:r>
              <w:rPr>
                <w:rFonts w:ascii="Times New Roman" w:hAnsi="Times New Roman"/>
                <w:sz w:val="16"/>
              </w:rPr>
              <w:t>calibrated combination</w:t>
            </w:r>
          </w:p>
        </w:tc>
        <w:tc>
          <w:tcPr>
            <w:tcW w:type="dxa" w:w="1740"/>
          </w:tcPr>
          <w:p>
            <w:pPr>
              <w:spacing w:after="0"/>
            </w:pPr>
            <w:r>
              <w:rPr>
                <w:sz w:val="16"/>
              </w:rPr>
            </w:r>
            <w:r>
              <w:rPr>
                <w:rFonts w:ascii="Times New Roman" w:hAnsi="Times New Roman"/>
                <w:sz w:val="16"/>
              </w:rPr>
              <w:t>BM25 features</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0.431</w:t>
            </w:r>
          </w:p>
        </w:tc>
        <w:tc>
          <w:tcPr>
            <w:tcW w:type="dxa" w:w="1740"/>
          </w:tcPr>
          <w:p>
            <w:pPr>
              <w:spacing w:after="0"/>
            </w:pPr>
            <w:r>
              <w:rPr>
                <w:sz w:val="16"/>
              </w:rPr>
            </w:r>
            <w:r>
              <w:rPr>
                <w:rFonts w:ascii="Times New Roman" w:hAnsi="Times New Roman"/>
                <w:sz w:val="16"/>
              </w:rPr>
              <w:t>0.544</w:t>
            </w:r>
          </w:p>
        </w:tc>
        <w:tc>
          <w:tcPr>
            <w:tcW w:type="dxa" w:w="1740"/>
          </w:tcPr>
          <w:p>
            <w:pPr>
              <w:spacing w:after="0"/>
            </w:pPr>
            <w:r>
              <w:rPr>
                <w:sz w:val="16"/>
              </w:rPr>
            </w:r>
            <w:r>
              <w:rPr>
                <w:rFonts w:ascii="Times New Roman" w:hAnsi="Times New Roman"/>
                <w:sz w:val="16"/>
              </w:rPr>
              <w:t>26%</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script-aware RRF top score</w:t>
            </w:r>
          </w:p>
        </w:tc>
        <w:tc>
          <w:tcPr>
            <w:tcW w:type="dxa" w:w="1740"/>
          </w:tcPr>
          <w:p>
            <w:pPr>
              <w:spacing w:after="0"/>
            </w:pPr>
            <w:r>
              <w:rPr>
                <w:sz w:val="16"/>
              </w:rPr>
            </w:r>
            <w:r>
              <w:rPr>
                <w:rFonts w:ascii="Times New Roman" w:hAnsi="Times New Roman"/>
                <w:sz w:val="16"/>
              </w:rPr>
              <w:t>0.381</w:t>
            </w:r>
          </w:p>
        </w:tc>
        <w:tc>
          <w:tcPr>
            <w:tcW w:type="dxa" w:w="1740"/>
          </w:tcPr>
          <w:p>
            <w:pPr>
              <w:spacing w:after="0"/>
            </w:pPr>
            <w:r>
              <w:rPr>
                <w:sz w:val="16"/>
              </w:rPr>
            </w:r>
            <w:r>
              <w:rPr>
                <w:rFonts w:ascii="Times New Roman" w:hAnsi="Times New Roman"/>
                <w:sz w:val="16"/>
              </w:rPr>
              <w:t>0.240</w:t>
            </w:r>
          </w:p>
        </w:tc>
        <w:tc>
          <w:tcPr>
            <w:tcW w:type="dxa" w:w="1740"/>
          </w:tcPr>
          <w:p>
            <w:pPr>
              <w:spacing w:after="0"/>
            </w:pPr>
            <w:r>
              <w:rPr>
                <w:sz w:val="16"/>
              </w:rPr>
            </w:r>
            <w:r>
              <w:rPr>
                <w:rFonts w:ascii="Times New Roman" w:hAnsi="Times New Roman"/>
                <w:sz w:val="16"/>
              </w:rPr>
              <w:t>0.930</w:t>
            </w:r>
          </w:p>
        </w:tc>
        <w:tc>
          <w:tcPr>
            <w:tcW w:type="dxa" w:w="1740"/>
          </w:tcPr>
          <w:p>
            <w:pPr>
              <w:spacing w:after="0"/>
            </w:pPr>
            <w:r>
              <w:rPr>
                <w:sz w:val="16"/>
              </w:rPr>
            </w:r>
            <w:r>
              <w:rPr>
                <w:rFonts w:ascii="Times New Roman" w:hAnsi="Times New Roman"/>
                <w:sz w:val="16"/>
              </w:rPr>
              <w:t>81%</w:t>
            </w:r>
          </w:p>
        </w:tc>
      </w:tr>
      <w:tr>
        <w:tc>
          <w:tcPr>
            <w:tcW w:type="dxa" w:w="1740"/>
          </w:tcPr>
          <w:p>
            <w:pPr>
              <w:spacing w:after="0"/>
            </w:pPr>
            <w:r>
              <w:rPr>
                <w:sz w:val="16"/>
              </w:rPr>
            </w:r>
            <w:r>
              <w:rPr>
                <w:rFonts w:ascii="Times New Roman" w:hAnsi="Times New Roman"/>
                <w:sz w:val="16"/>
              </w:rPr>
              <w:t>calibrated combination</w:t>
            </w:r>
          </w:p>
        </w:tc>
        <w:tc>
          <w:tcPr>
            <w:tcW w:type="dxa" w:w="1740"/>
          </w:tcPr>
          <w:p>
            <w:pPr>
              <w:spacing w:after="0"/>
            </w:pPr>
            <w:r>
              <w:rPr>
                <w:sz w:val="16"/>
              </w:rPr>
            </w:r>
            <w:r>
              <w:rPr>
                <w:rFonts w:ascii="Times New Roman" w:hAnsi="Times New Roman"/>
                <w:sz w:val="16"/>
              </w:rPr>
              <w:t>RRF features</w:t>
            </w:r>
          </w:p>
        </w:tc>
        <w:tc>
          <w:tcPr>
            <w:tcW w:type="dxa" w:w="1740"/>
          </w:tcPr>
          <w:p>
            <w:pPr>
              <w:spacing w:after="0"/>
            </w:pPr>
            <w:r>
              <w:rPr>
                <w:sz w:val="16"/>
              </w:rPr>
            </w:r>
            <w:r>
              <w:rPr>
                <w:rFonts w:ascii="Times New Roman" w:hAnsi="Times New Roman"/>
                <w:sz w:val="16"/>
              </w:rPr>
              <w:t>0.454</w:t>
            </w:r>
          </w:p>
        </w:tc>
        <w:tc>
          <w:tcPr>
            <w:tcW w:type="dxa" w:w="1740"/>
          </w:tcPr>
          <w:p>
            <w:pPr>
              <w:spacing w:after="0"/>
            </w:pPr>
            <w:r>
              <w:rPr>
                <w:sz w:val="16"/>
              </w:rPr>
            </w:r>
            <w:r>
              <w:rPr>
                <w:rFonts w:ascii="Times New Roman" w:hAnsi="Times New Roman"/>
                <w:sz w:val="16"/>
              </w:rPr>
              <w:t>0.435</w:t>
            </w:r>
          </w:p>
        </w:tc>
        <w:tc>
          <w:tcPr>
            <w:tcW w:type="dxa" w:w="1740"/>
          </w:tcPr>
          <w:p>
            <w:pPr>
              <w:spacing w:after="0"/>
            </w:pPr>
            <w:r>
              <w:rPr>
                <w:sz w:val="16"/>
              </w:rPr>
            </w:r>
            <w:r>
              <w:rPr>
                <w:rFonts w:ascii="Times New Roman" w:hAnsi="Times New Roman"/>
                <w:sz w:val="16"/>
              </w:rPr>
              <w:t>0.474</w:t>
            </w:r>
          </w:p>
        </w:tc>
        <w:tc>
          <w:tcPr>
            <w:tcW w:type="dxa" w:w="1740"/>
          </w:tcPr>
          <w:p>
            <w:pPr>
              <w:spacing w:after="0"/>
            </w:pPr>
            <w:r>
              <w:rPr>
                <w:sz w:val="16"/>
              </w:rPr>
            </w:r>
            <w:r>
              <w:rPr>
                <w:rFonts w:ascii="Times New Roman" w:hAnsi="Times New Roman"/>
                <w:sz w:val="16"/>
              </w:rPr>
              <w:t>23%</w:t>
            </w:r>
          </w:p>
        </w:tc>
      </w:tr>
    </w:tbl>
    <w:p>
      <w:pPr>
        <w:spacing w:after="40"/>
      </w:pPr>
    </w:p>
    <w:p>
      <w:pPr>
        <w:spacing w:after="0"/>
        <w:ind w:firstLine="288"/>
        <w:jc w:val="both"/>
      </w:pPr>
      <w:r>
        <w:rPr>
          <w:rFonts w:ascii="Times New Roman" w:hAnsi="Times New Roman"/>
          <w:b/>
          <w:sz w:val="20"/>
        </w:rPr>
        <w:t>The lexical score separates the classes.</w:t>
      </w:r>
      <w:r>
        <w:rPr>
          <w:rFonts w:ascii="Times New Roman" w:hAnsi="Times New Roman"/>
          <w:sz w:val="20"/>
        </w:rPr>
        <w:t xml:space="preserve"> Under BM25 the median top score is 25.5 for answerable questions and 13.8 for unanswerable ones, and every retrieval feature separates them: AUC 0.791 for the top score, 0.790 for the spread between the top and the k-th result, 0.766 for the mean of the top k, 0.717 for the top-1 to top-2 margin. A threshold fitted on dev catches every out-of-scope question on test, 0.857 of the under-specified ones and 0.667 of the false-premise ones, while answering 155 of 216 answerable questions.</w:t>
      </w:r>
    </w:p>
    <w:p>
      <w:pPr>
        <w:spacing w:after="0"/>
        <w:ind w:firstLine="288"/>
        <w:jc w:val="both"/>
      </w:pPr>
      <w:r>
        <w:rPr>
          <w:rFonts w:ascii="Times New Roman" w:hAnsi="Times New Roman"/>
          <w:b/>
          <w:sz w:val="20"/>
        </w:rPr>
        <w:t>It is weakest where it matters most.</w:t>
      </w:r>
      <w:r>
        <w:rPr>
          <w:rFonts w:ascii="Times New Roman" w:hAnsi="Times New Roman"/>
          <w:sz w:val="20"/>
        </w:rPr>
        <w:t xml:space="preserve"> On near-miss questions — scheme present, specific fact absent — recall is 0.522: half of them retrieve as confidently as questions the corpus answers, because the passages they find are genuinely about the right scheme. A score threshold detects the absence of a topic; it detects the absence of a </w:t>
      </w:r>
      <w:r>
        <w:rPr>
          <w:rFonts w:ascii="Times New Roman" w:hAnsi="Times New Roman"/>
          <w:i/>
          <w:sz w:val="20"/>
        </w:rPr>
        <w:t>fact</w:t>
      </w:r>
      <w:r>
        <w:rPr>
          <w:rFonts w:ascii="Times New Roman" w:hAnsi="Times New Roman"/>
          <w:sz w:val="20"/>
        </w:rPr>
        <w:t xml:space="preserve"> only about as often as chance would suggest for a question drawn to sit right beside one.</w:t>
      </w:r>
    </w:p>
    <w:p>
      <w:pPr>
        <w:spacing w:after="0"/>
        <w:ind w:firstLine="288"/>
        <w:jc w:val="both"/>
      </w:pPr>
      <w:r>
        <w:rPr>
          <w:rFonts w:ascii="Times New Roman" w:hAnsi="Times New Roman"/>
          <w:b/>
          <w:sz w:val="20"/>
        </w:rPr>
        <w:t>Rank fusion discards the signal.</w:t>
      </w:r>
      <w:r>
        <w:rPr>
          <w:rFonts w:ascii="Times New Roman" w:hAnsi="Times New Roman"/>
          <w:sz w:val="20"/>
        </w:rPr>
        <w:t xml:space="preserve"> The script-aware RRF score is built from ranks, not magnitudes, and its top score is 0.0328 for answerable questions against 0.0325 for unanswerable ones. Its best single feature reaches AUC 0.712, and a threshold fitted on dev lands at the degenerate end of the curve, refusing 81% of test questions for a precision of 0.240 — barely above the base rate. The hybrid retriever that §VI-A recommends for finding evidence is therefore the wrong place to read an abstention signal from; the lexical component's raw score, computed anyway as part of fusion, is the better signal by a wide margin.</w:t>
      </w:r>
    </w:p>
    <w:p>
      <w:pPr>
        <w:spacing w:after="0"/>
        <w:ind w:firstLine="288"/>
        <w:jc w:val="both"/>
      </w:pPr>
      <w:r>
        <w:rPr>
          <w:rFonts w:ascii="Times New Roman" w:hAnsi="Times New Roman"/>
          <w:b/>
          <w:sz w:val="20"/>
        </w:rPr>
        <w:t>Combining features does not beat the best one.</w:t>
      </w:r>
      <w:r>
        <w:rPr>
          <w:rFonts w:ascii="Times New Roman" w:hAnsi="Times New Roman"/>
          <w:sz w:val="20"/>
        </w:rPr>
        <w:t xml:space="preserve"> The calibrated combination over BM25 features reaches AUC 0.781 against 0.791 for the top score alone, and a lower test F1 (0.481 against 0.525), though it abstains less. Its fitted weights put score spread first (1.245) and the top score second (0.636).</w:t>
      </w:r>
    </w:p>
    <w:p>
      <w:pPr>
        <w:spacing w:after="0"/>
        <w:ind w:firstLine="288"/>
        <w:jc w:val="both"/>
      </w:pPr>
      <w:r>
        <w:rPr>
          <w:rFonts w:ascii="Times New Roman" w:hAnsi="Times New Roman"/>
          <w:b/>
          <w:sz w:val="20"/>
        </w:rPr>
        <w:t>What changed, and why.</w:t>
      </w:r>
      <w:r>
        <w:rPr>
          <w:rFonts w:ascii="Times New Roman" w:hAnsi="Times New Roman"/>
          <w:sz w:val="20"/>
        </w:rPr>
        <w:t xml:space="preserve"> Before verification we reported that no retrieval score separated the classes, that the median unanswerable question scored </w:t>
      </w:r>
      <w:r>
        <w:rPr>
          <w:rFonts w:ascii="Times New Roman" w:hAnsi="Times New Roman"/>
          <w:i/>
          <w:sz w:val="20"/>
        </w:rPr>
        <w:t>higher</w:t>
      </w:r>
      <w:r>
        <w:rPr>
          <w:rFonts w:ascii="Times New Roman" w:hAnsi="Times New Roman"/>
          <w:sz w:val="20"/>
        </w:rPr>
        <w:t xml:space="preserve"> than the median answerable one under BM25, and that the top score was the least informative feature. All three were properties of the unverified questions. Of the 400 bootstrapped items, 85 did not name what they were asking about and 112 were unreadable; a question that does not name its scheme retrieves weakly whether or not the corpus answers it, which pushed answerable scores down onto the unanswerable ones. The leakage control of §III-F rules out the other explanation — that rewritten questions copied their passage's wording — since same-script overlap is essentially unchanged (median Jaccard 0.077 against 0.066) and no cell shows a larger BM25 edge on its high-overlap half.</w:t>
      </w:r>
    </w:p>
    <w:p>
      <w:pPr>
        <w:spacing w:after="0"/>
        <w:ind w:firstLine="288"/>
        <w:jc w:val="both"/>
      </w:pPr>
      <w:r>
        <w:rPr>
          <w:rFonts w:ascii="Times New Roman" w:hAnsi="Times New Roman"/>
          <w:sz w:val="20"/>
        </w:rPr>
        <w:t>We draw two conclusions. A lexical retrieval score is a usable first-stage abstention signal on well-formed questions: it removes out-of-scope and most under-specified questions cheaply. It is not an answerability signal for the near-miss class, which needs a model to read the passage (§VI-H.1), and it must be read from the lexical score rather than from a rank-fused one.</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 Two of those rest on fewer questions than their counts suggest. The unanswerable scaffold cycles a fixed set of stems, so the 25 out-of-scope items hold 9 distinct questions and the 10 under-specified items hold 3, and each repeat is scored as independent evidence: under-specified's 1.000 is three questions refused correctly, counted up to four times each.</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failures drawn against a fixed taxonomy of ten categories — code-mixing, transliteration variation, named entities, amounts, dates, ambiguity, near-duplicate schemes, the cross-lingual gap, long-tail schemes, and short queries — taking at most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Each case is recorded as a structured record — query, gold passages, the ranked output of every system, a diagnosis, and the component judged to have failed — and committed alongside its rendered report.</w:t>
      </w:r>
    </w:p>
    <w:p>
      <w:pPr>
        <w:spacing w:after="0"/>
        <w:ind w:firstLine="288"/>
        <w:jc w:val="both"/>
      </w:pPr>
      <w:r>
        <w:rPr>
          <w:rFonts w:ascii="Times New Roman" w:hAnsi="Times New Roman"/>
          <w:sz w:val="20"/>
        </w:rPr>
        <w:t>We ran the selection twice. The first run, twenty cases over plain RRF on the unverified questions (</w:t>
      </w:r>
      <w:r>
        <w:rPr>
          <w:rFonts w:ascii="Consolas" w:hAnsi="Consolas"/>
          <w:sz w:val="17"/>
        </w:rPr>
        <w:t>evals/errors.jsonl</w:t>
      </w:r>
      <w:r>
        <w:rPr>
          <w:rFonts w:ascii="Times New Roman" w:hAnsi="Times New Roman"/>
          <w:sz w:val="20"/>
        </w:rPr>
        <w:t>), is where the paper's main result came from, and §VII-C tells that story. Verification then rewrote every one of its twenty questions, so we repeated the selection on the sealed test split over the system the paper recommends, script-aware fusion (</w:t>
      </w:r>
      <w:r>
        <w:rPr>
          <w:rFonts w:ascii="Consolas" w:hAnsi="Consolas"/>
          <w:sz w:val="17"/>
        </w:rPr>
        <w:t>evals/errors-test.jsonl</w:t>
      </w:r>
      <w:r>
        <w:rPr>
          <w:rFonts w:ascii="Times New Roman" w:hAnsi="Times New Roman"/>
          <w:sz w:val="20"/>
        </w:rPr>
        <w:t xml:space="preserve">, </w:t>
      </w:r>
      <w:r>
        <w:rPr>
          <w:rFonts w:ascii="Consolas" w:hAnsi="Consolas"/>
          <w:sz w:val="17"/>
        </w:rPr>
        <w:t>evals/report-errors-test.txt</w:t>
      </w:r>
      <w:r>
        <w:rPr>
          <w:rFonts w:ascii="Times New Roman" w:hAnsi="Times New Roman"/>
          <w:sz w:val="20"/>
        </w:rPr>
        <w:t>). §VII-B reports that run. It yields 15 cases across 8 categories rather than 20 across 10: the near-duplicate and short-query categories produce no case under the rule, and we do not relax the rule to fill them.</w:t>
      </w:r>
    </w:p>
    <w:p>
      <w:pPr>
        <w:spacing w:before="200" w:after="80"/>
        <w:jc w:val="left"/>
      </w:pPr>
      <w:r>
        <w:rPr>
          <w:rFonts w:ascii="Times New Roman" w:hAnsi="Times New Roman"/>
          <w:i/>
          <w:sz w:val="20"/>
        </w:rPr>
        <w:t>B. What the verified cases show</w:t>
      </w:r>
    </w:p>
    <w:p>
      <w:pPr>
        <w:spacing w:after="0"/>
        <w:ind w:firstLine="288"/>
        <w:jc w:val="both"/>
      </w:pPr>
      <w:r>
        <w:rPr>
          <w:rFonts w:ascii="Times New Roman" w:hAnsi="Times New Roman"/>
          <w:b/>
          <w:sz w:val="20"/>
        </w:rPr>
        <w:t>The right scheme, the wrong passage.</w:t>
      </w:r>
      <w:r>
        <w:rPr>
          <w:rFonts w:ascii="Times New Roman" w:hAnsi="Times New Roman"/>
          <w:sz w:val="20"/>
        </w:rPr>
        <w:t xml:space="preserve"> In 12 of the 15 cases script-aware fusion puts a passage from the correct scheme in its top five; what it misses is the one passage that states the fact. Often that passage is in the other language: a Hinglish question about how many documents a Sukanya Samriddhi account needs retrieves five English Sukanya passages, and the only statement of the answer is in the Hindi article. The three remaining cases retrieve the wrong scheme altogether, one of them because the question spells Aadhaar as </w:t>
      </w:r>
      <w:r>
        <w:rPr>
          <w:rFonts w:ascii="Times New Roman" w:hAnsi="Times New Roman"/>
          <w:i/>
          <w:sz w:val="20"/>
        </w:rPr>
        <w:t>adhar</w:t>
      </w:r>
      <w:r>
        <w:rPr>
          <w:rFonts w:ascii="Times New Roman" w:hAnsi="Times New Roman"/>
          <w:sz w:val="20"/>
        </w:rPr>
        <w:t>.</w:t>
      </w:r>
    </w:p>
    <w:p>
      <w:pPr>
        <w:spacing w:after="0"/>
        <w:ind w:firstLine="288"/>
        <w:jc w:val="both"/>
      </w:pPr>
      <w:r>
        <w:rPr>
          <w:rFonts w:ascii="Times New Roman" w:hAnsi="Times New Roman"/>
          <w:b/>
          <w:sz w:val="20"/>
        </w:rPr>
        <w:t>Two failures are the gold set's, not the retriever's.</w:t>
      </w:r>
      <w:r>
        <w:rPr>
          <w:rFonts w:ascii="Times New Roman" w:hAnsi="Times New Roman"/>
          <w:sz w:val="20"/>
        </w:rPr>
        <w:t xml:space="preserve"> The automatic diagnosis attributes all 15 cases to retrieval, and reading them corrects that twice. In E08 the retriever's first result states the answer — ₹17,000 crore set aside for Skill India in the 2017–18 budget — but the 25% overlap between adjacent passages copied that sentence into a passage the gold set does not list, so a correct retrieval is scored as a miss. In E04 the gold set omits the English passage that also states the 21-year maturity of a Sukanya account; that one remains a real miss, since the passage was not retrieved either. Verification added other-language passages to 73 items, and these two show it did not find every one. Overlap-duplicated sentences are a systematic source of such gaps, and resolving gold evidence to sentences rather than passages would close them.</w:t>
      </w:r>
    </w:p>
    <w:p>
      <w:pPr>
        <w:spacing w:after="0"/>
        <w:ind w:firstLine="288"/>
        <w:jc w:val="both"/>
      </w:pPr>
      <w:r>
        <w:rPr>
          <w:rFonts w:ascii="Times New Roman" w:hAnsi="Times New Roman"/>
          <w:b/>
          <w:sz w:val="20"/>
        </w:rPr>
        <w:t>One failure is a defect in script-aware fusion, and fixing it does not help.</w:t>
      </w:r>
      <w:r>
        <w:rPr>
          <w:rFonts w:ascii="Times New Roman" w:hAnsi="Times New Roman"/>
          <w:sz w:val="20"/>
        </w:rPr>
        <w:t xml:space="preserve"> In E01 the top result is a Hindi passage about the Soil Health Card, returned for a Romanized question about the Antyodaya ration. BM25 reached that passage through the one Latin word it quotes, </w:t>
      </w:r>
      <w:r>
        <w:rPr>
          <w:rFonts w:ascii="Times New Roman" w:hAnsi="Times New Roman"/>
          <w:i/>
          <w:sz w:val="20"/>
        </w:rPr>
        <w:t>Card</w:t>
      </w:r>
      <w:r>
        <w:rPr>
          <w:rFonts w:ascii="Times New Roman" w:hAnsi="Times New Roman"/>
          <w:sz w:val="20"/>
        </w:rPr>
        <w:t>, and script-aware fusion then doubled the score, since for a Latin query a Devanagari passage counts as ineligible for a lexical vote even when it received one. Counting a cast vote as eligible is the obvious correction. Because the defect was found on the test split, we decided on dev: there the correction is worse, −0.026 Recall@5 overall and −0.093 cross-lingual, neither significant, and the test split moves the same way (</w:t>
      </w:r>
      <w:r>
        <w:rPr>
          <w:rFonts w:ascii="Consolas" w:hAnsi="Consolas"/>
          <w:sz w:val="17"/>
        </w:rPr>
        <w:t>evals/report-observed-votes.txt</w:t>
      </w:r>
      <w:r>
        <w:rPr>
          <w:rFonts w:ascii="Times New Roman" w:hAnsi="Times New Roman"/>
          <w:sz w:val="20"/>
        </w:rPr>
        <w:t>). Across both splits it changes six queries, losing five and gaining one; in four of the five losses BM25 had reached a cross-script gold passage through a year or number in the question, and in the fifth through a Latin acronym. A cast cross-script vote is usually real evidence, so the committed rule stays, and E01 is its price.</w:t>
      </w:r>
    </w:p>
    <w:p>
      <w:pPr>
        <w:spacing w:after="0"/>
        <w:ind w:firstLine="288"/>
        <w:jc w:val="both"/>
      </w:pPr>
      <w:r>
        <w:rPr>
          <w:rFonts w:ascii="Times New Roman" w:hAnsi="Times New Roman"/>
          <w:b/>
          <w:sz w:val="20"/>
        </w:rPr>
        <w:t>One failure is in the corpus.</w:t>
      </w:r>
      <w:r>
        <w:rPr>
          <w:rFonts w:ascii="Times New Roman" w:hAnsi="Times New Roman"/>
          <w:sz w:val="20"/>
        </w:rPr>
        <w:t xml:space="preserve"> E06 asks which film based on the Swachh Bharat Mission was released in August 2023. The only passage stating it belongs to the </w:t>
      </w:r>
      <w:r>
        <w:rPr>
          <w:rFonts w:ascii="Times New Roman" w:hAnsi="Times New Roman"/>
          <w:i/>
          <w:sz w:val="20"/>
        </w:rPr>
        <w:t>Beti Bachao</w:t>
      </w:r>
      <w:r>
        <w:rPr>
          <w:rFonts w:ascii="Times New Roman" w:hAnsi="Times New Roman"/>
          <w:sz w:val="20"/>
        </w:rPr>
        <w:t xml:space="preserve"> article, which mentions the film in passing, so a question that names Swachh Bharat retrieves Swachh Bharat passages. No retriever should be expected to find it.</w:t>
      </w:r>
    </w:p>
    <w:p>
      <w:pPr>
        <w:spacing w:after="0"/>
        <w:ind w:firstLine="288"/>
        <w:jc w:val="both"/>
      </w:pPr>
      <w:r>
        <w:rPr>
          <w:rFonts w:ascii="Times New Roman" w:hAnsi="Times New Roman"/>
          <w:b/>
          <w:sz w:val="20"/>
        </w:rPr>
        <w:t>The taxonomy tagger is not always right.</w:t>
      </w:r>
      <w:r>
        <w:rPr>
          <w:rFonts w:ascii="Times New Roman" w:hAnsi="Times New Roman"/>
          <w:sz w:val="20"/>
        </w:rPr>
        <w:t xml:space="preserve"> E07 is filed under </w:t>
      </w:r>
      <w:r>
        <w:rPr>
          <w:rFonts w:ascii="Times New Roman" w:hAnsi="Times New Roman"/>
          <w:i/>
          <w:sz w:val="20"/>
        </w:rPr>
        <w:t>amounts</w:t>
      </w:r>
      <w:r>
        <w:rPr>
          <w:rFonts w:ascii="Times New Roman" w:hAnsi="Times New Roman"/>
          <w:sz w:val="20"/>
        </w:rPr>
        <w:t xml:space="preserve"> because its question contains a year; it asks which movement inspired Atmanirbhar Bharat. The categories are assigned by heuristic, and a case's category is a pointer for reading it, not a finding.</w:t>
      </w:r>
    </w:p>
    <w:p>
      <w:pPr>
        <w:spacing w:after="0"/>
        <w:ind w:firstLine="288"/>
        <w:jc w:val="both"/>
      </w:pPr>
      <w:r>
        <w:rPr>
          <w:rFonts w:ascii="Times New Roman" w:hAnsi="Times New Roman"/>
          <w:b/>
          <w:sz w:val="20"/>
        </w:rPr>
        <w:t>That this sample is all retrieval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§VI-G.1 makes the comparison the error analysis cannot: given the gold passage and nothing to find, the generator still loses more than retrieval does.</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 xml:space="preserve">One case (E02 in </w:t>
      </w:r>
      <w:r>
        <w:rPr>
          <w:rFonts w:ascii="Consolas" w:hAnsi="Consolas"/>
          <w:sz w:val="17"/>
        </w:rPr>
        <w:t>evals/report-errors.txt</w:t>
      </w:r>
      <w:r>
        <w:rPr>
          <w:rFonts w:ascii="Times New Roman" w:hAnsi="Times New Roman"/>
          <w:sz w:val="20"/>
        </w:rPr>
        <w: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significantly better than the better of its two endpoints,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(They were drawn from the unverified questions, and verification has since rewritten all twenty; the mechanism they exposed is structural, and §VI-A confirms it on the verified set.)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sealed test split of the verified gold set it takes cross-lingual Recall@5 from 0.274 under plain RRF to 0.685 (paired randomization test, p = 0.0001, n = 62), and overall Recall@5 from 0.618 to 0.750 (p = 0.0001, n = 216). On the probe set where it was found, the same correction took cross-lingual recall from 0.022 to 0.153.</w:t>
      </w:r>
    </w:p>
    <w:p>
      <w:pPr>
        <w:spacing w:after="0"/>
        <w:ind w:firstLine="288"/>
        <w:jc w:val="both"/>
      </w:pPr>
      <w:r>
        <w:rPr>
          <w:rFonts w:ascii="Times New Roman" w:hAnsi="Times New Roman"/>
          <w:sz w:val="20"/>
        </w:rPr>
        <w:t>The comparison against dense retrieval alone is the one that decides whether hybrid retrieval earns its place at all, and here the verified set is less generous than the probes were. Script-aware fusion beats e5-base alone by +0.030 overall on the test split (p = 0.052) and +0.027 on dev and test pooled (p = 0.021); by slice, the gain is significant only on code-mixed queries (+0.085, p = 0.0037), where Romanized questions carrying English scheme names give the lexical retriever something the dense one misses, and it is +0.024 on cross-lingual queries (p = 0.62). The honest reading is that the correction removes a harm plain fusion introduces, and that once removed, fusing adds a small gain over a strong multilingual dense retriever, concentrated in code-mixed queries.</w:t>
      </w:r>
    </w:p>
    <w:p>
      <w:pPr>
        <w:spacing w:after="0"/>
        <w:ind w:firstLine="288"/>
        <w:jc w:val="both"/>
      </w:pPr>
      <w:r>
        <w:rPr>
          <w:rFonts w:ascii="Times New Roman" w:hAnsi="Times New Roman"/>
          <w:sz w:val="20"/>
        </w:rPr>
        <w:t>This also revises a negative result reported earlier in the same work, though less than we first claimed. The α sweep found no interior weighting that beat both endpoints, and still finds none on the verified set (best α = 0.1 at 0.720 against 0.720 for pure dense, test split). We had read the script-aware result as showing that hybrid retrieval does beat its components once fusion stops penalising cross-script passages. On the verified set that holds for code-mixed queries and is within noise elsewhere.</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On the probe set the correction was a trade: monolingual Recall@5 fell from 0.712 to 0.668, a regression of 0.044 at p = 0.032, because removing the lexical double-vote discards agreement between retrievers exactly where both could see the same passage and agreement really was evidence.</w:t>
      </w:r>
    </w:p>
    <w:p>
      <w:pPr>
        <w:spacing w:after="0"/>
        <w:ind w:firstLine="288"/>
        <w:jc w:val="both"/>
      </w:pPr>
      <w:r>
        <w:rPr>
          <w:rFonts w:ascii="Times New Roman" w:hAnsi="Times New Roman"/>
          <w:b/>
          <w:sz w:val="20"/>
        </w:rPr>
        <w:t>On the verified set there is no cost to state.</w:t>
      </w:r>
      <w:r>
        <w:rPr>
          <w:rFonts w:ascii="Times New Roman" w:hAnsi="Times New Roman"/>
          <w:sz w:val="20"/>
        </w:rPr>
        <w:t xml:space="preserve"> Monolingual Recall@5 is 0.964 under both plain and script-aware fusion on the test split (p = 1.00), against 0.976 for dense alone (p = 0.75). The probe set's monolingual questions were built by lifting phrasing from their passages, which is the case where lexical agreement is most informative and discarding it costs most; real questions do not do that. We report the probe regression anyway, because on a deployment whose queries are overwhelmingly lexical-overlap monolingual ones it is the figure that would apply.</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no human annotator.</w:t>
      </w:r>
      <w:r>
        <w:rPr>
          <w:rFonts w:ascii="Times New Roman" w:hAnsi="Times New Roman"/>
          <w:sz w:val="20"/>
        </w:rPr>
        <w:t xml:space="preserve"> The evaluation set is 393 verified items, of which 313 are answerable, spread over six query-language-by-passage-language cells of 44 to 69 items, and the sealed test split holds 273 of them; per-cell differences of a few points are not resolvable. The larger limitation is who verified them. The protocol called for a person to confirm every item and for a second person to re-label a blind sample, with κ ≥ 0.70 as a gate on reporting any answerability result. Both steps were carried out by a language model instead (§III-D). The second pass agrees perfectly with the first, κ = 1.000 over 59 items, but two instances of one model share its blind spots, and the confirming pass had already dropped the items it disagreed with, so that figure measures consistency and is not the gate the protocol describes. The verification did find and remove real defects — wrong answers, unreadable translations, duplicated unanswerable items — and every figure in §VI rests on the corrected set; but a gold set checked only by a model inherits that model's judgement of what a passage states, and a human pass over at least the test split remains the most valuable single piece of outstanding work.</w:t>
      </w:r>
    </w:p>
    <w:p>
      <w:pPr>
        <w:spacing w:after="0"/>
        <w:ind w:firstLine="288"/>
        <w:jc w:val="both"/>
      </w:pPr>
      <w:r>
        <w:rPr>
          <w:rFonts w:ascii="Times New Roman" w:hAnsi="Times New Roman"/>
          <w:b/>
          <w:sz w:val="20"/>
        </w:rPr>
        <w:t>Probe-set figures are kept, and they disagree with the gold set.</w:t>
      </w:r>
      <w:r>
        <w:rPr>
          <w:rFonts w:ascii="Times New Roman" w:hAnsi="Times New Roman"/>
          <w:sz w:val="20"/>
        </w:rPr>
        <w:t xml:space="preserve"> The analyses in §VI-B to §VI-F were measured on 180 synthetic probes before the gold set existed, and are marked </w:t>
      </w:r>
      <w:r>
        <w:rPr>
          <w:rFonts w:ascii="Consolas" w:hAnsi="Consolas"/>
          <w:sz w:val="17"/>
        </w:rPr>
        <w:t>[PROBE]</w:t>
      </w:r>
      <w:r>
        <w:rPr>
          <w:rFonts w:ascii="Times New Roman" w:hAnsi="Times New Roman"/>
          <w:sz w:val="20"/>
        </w:rPr>
        <w:t>. The direction of the fusion result held on the verified set, as the mechanism predicted; the magnitudes did not. The probes understated the repair to plain fusion and overstated the gain over dense retrieval alone, and one probe-set observation — LaBSE leading the code-mixed slice — does not hold on real questions. Where they disagree, §VI-A stands.</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§VI-A.1 applies it over multilingual-e5-base, MiniLM-L12 and LaBSE on the verified set, and it improves each (+0.028, +0.162, +0.085), more for the weaker encoders,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what it can detect is bounded by our taxonomy.</w:t>
      </w:r>
      <w:r>
        <w:rPr>
          <w:rFonts w:ascii="Times New Roman" w:hAnsi="Times New Roman"/>
          <w:sz w:val="20"/>
        </w:rPr>
        <w:t xml:space="preserve"> On the verified set a BM25 top-score threshold is a usable first-stage filter (§VI-H), but its strength is uneven by class: it rejects every out-of-scope question on the test split and only 0.522 of near-misses. Since 55 of our 80 unanswerable items are written about schemes present in the corpus, the aggregate F1 depends on that mix. A benchmark whose unanswerable questions were predominantly out-of-scope would find the threshold far stronger, and one made entirely of near-misses would find it close to useless. We report per-class recall for that reason, and we evaluate the generator's own abstention and an entailment check alongside it, since those read the passage and are the signals that can see a missing </w:t>
      </w:r>
      <w:r>
        <w:rPr>
          <w:rFonts w:ascii="Times New Roman" w:hAnsi="Times New Roman"/>
          <w:i/>
          <w:sz w:val="20"/>
        </w:rPr>
        <w:t>fact</w:t>
      </w:r>
      <w:r>
        <w:rPr>
          <w:rFonts w:ascii="Times New Roman" w:hAnsi="Times New Roman"/>
          <w:sz w:val="20"/>
        </w:rPr>
        <w:t xml:space="preserve"> rather than a missing topic.</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393-item evaluation set across six query-language-by-passage-language cells and a taxonomy of four unanswerable question types, verified by a language model and disclosed as such.</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on the verified test split cross-lingual Recall@5 rises from 0.274 to 0.685, with no measurable monolingual cost, no training and one additional lookup per candidate. Against a strong multilingual dense retriever used alone, the corrected hybrid gains little — +0.030 overall, significant only on code-mixed queries — so the finding is that standard fusion does harm and the correction removes it, not that fusion is a large win.</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Immediate future work is a human verification pass over the evaluation set, at least its test split, to replace the model verification it currently rests on;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