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(n = 320):</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70</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0.217</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60</w:t>
            </w:r>
          </w:p>
        </w:tc>
        <w:tc>
          <w:tcPr>
            <w:tcW w:type="dxa" w:w="2088"/>
          </w:tcPr>
          <w:p>
            <w:pPr>
              <w:spacing w:after="0"/>
            </w:pPr>
            <w:r>
              <w:rPr>
                <w:sz w:val="16"/>
              </w:rPr>
            </w:r>
            <w:r>
              <w:rPr>
                <w:rFonts w:ascii="Times New Roman" w:hAnsi="Times New Roman"/>
                <w:sz w:val="16"/>
              </w:rPr>
              <w:t>0.084</w:t>
            </w:r>
          </w:p>
        </w:tc>
        <w:tc>
          <w:tcPr>
            <w:tcW w:type="dxa" w:w="2088"/>
          </w:tcPr>
          <w:p>
            <w:pPr>
              <w:spacing w:after="0"/>
            </w:pPr>
            <w:r>
              <w:rPr>
                <w:sz w:val="16"/>
              </w:rPr>
            </w:r>
            <w:r>
              <w:rPr>
                <w:rFonts w:ascii="Times New Roman" w:hAnsi="Times New Roman"/>
                <w:sz w:val="16"/>
              </w:rPr>
              <w:t>0.340</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55</w:t>
            </w:r>
          </w:p>
        </w:tc>
        <w:tc>
          <w:tcPr>
            <w:tcW w:type="dxa" w:w="2088"/>
          </w:tcPr>
          <w:p>
            <w:pPr>
              <w:spacing w:after="0"/>
            </w:pPr>
            <w:r>
              <w:rPr>
                <w:sz w:val="16"/>
              </w:rPr>
            </w:r>
            <w:r>
              <w:rPr>
                <w:rFonts w:ascii="Times New Roman" w:hAnsi="Times New Roman"/>
                <w:sz w:val="16"/>
              </w:rPr>
              <w:t>0.009</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0.091</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0.024</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0.023</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at zero because the two scripts share no tokens. That is the script boundary rather than evidence of annotation hygiene, and pooling them would report a median of 0.013 that says nothing about leakage. The figure that bears on the question is the same-script one: </w:t>
      </w:r>
      <w:r>
        <w:rPr>
          <w:rFonts w:ascii="Times New Roman" w:hAnsi="Times New Roman"/>
          <w:b/>
          <w:sz w:val="20"/>
        </w:rPr>
        <w:t>median 0.066, max 0.340</w:t>
      </w:r>
      <w:r>
        <w:rPr>
          <w:rFonts w:ascii="Times New Roman" w:hAnsi="Times New Roman"/>
          <w:sz w:val="20"/>
        </w:rPr>
        <w:t xml:space="preserve"> over 185 items.</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That design does not work here: the low tertile comes out 54 of 61 </w:t>
      </w:r>
      <w:r>
        <w:rPr>
          <w:rFonts w:ascii="Consolas" w:hAnsi="Consolas"/>
          <w:sz w:val="17"/>
        </w:rPr>
        <w:t>hinglish→en</w:t>
      </w:r>
      <w:r>
        <w:rPr>
          <w:rFonts w:ascii="Times New Roman" w:hAnsi="Times New Roman"/>
          <w:sz w:val="20"/>
        </w:rPr>
        <w:t>, because Romanized Hindi function words match nothing in an English passage, so the split is a proxy for the language pair and comparing across it measures Hinglish against monolingual. Within each same-script cell, splitting at the median overlap:</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+0.057</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0.000</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+0.111</w:t>
            </w:r>
          </w:p>
        </w:tc>
        <w:tc>
          <w:tcPr>
            <w:tcW w:type="dxa" w:w="2610"/>
          </w:tcPr>
          <w:p>
            <w:pPr>
              <w:spacing w:after="0"/>
            </w:pPr>
            <w:r>
              <w:rPr>
                <w:sz w:val="16"/>
              </w:rPr>
            </w:r>
            <w:r>
              <w:rPr>
                <w:rFonts w:ascii="Times New Roman" w:hAnsi="Times New Roman"/>
                <w:b/>
                <w:sz w:val="16"/>
              </w:rPr>
              <w:t>+0.429</w:t>
            </w:r>
            <w:r>
              <w:rPr>
                <w:rFonts w:ascii="Times New Roman" w:hAnsi="Times New Roman"/>
                <w:sz w:val="16"/>
              </w:rPr>
              <w:t xml:space="preserve"> *</w:t>
            </w:r>
          </w:p>
        </w:tc>
        <w:tc>
          <w:tcPr>
            <w:tcW w:type="dxa" w:w="2610"/>
          </w:tcPr>
          <w:p>
            <w:pPr>
              <w:spacing w:after="0"/>
            </w:pPr>
            <w:r>
              <w:rPr>
                <w:sz w:val="16"/>
              </w:rPr>
            </w:r>
            <w:r>
              <w:rPr>
                <w:rFonts w:ascii="Times New Roman" w:hAnsi="Times New Roman"/>
                <w:sz w:val="16"/>
              </w:rPr>
              <w:t>+0.317</w:t>
            </w:r>
          </w:p>
        </w:tc>
      </w:tr>
    </w:tbl>
    <w:p>
      <w:pPr>
        <w:spacing w:after="40"/>
      </w:pPr>
    </w:p>
    <w:p>
      <w:pPr>
        <w:spacing w:after="0"/>
        <w:ind w:firstLine="288"/>
        <w:jc w:val="both"/>
      </w:pPr>
      <w:r>
        <w:rPr>
          <w:rFonts w:ascii="Consolas" w:hAnsi="Consolas"/>
          <w:sz w:val="17"/>
        </w:rPr>
        <w:t>hi→hi</w:t>
      </w:r>
      <w:r>
        <w:rPr>
          <w:rFonts w:ascii="Times New Roman" w:hAnsi="Times New Roman"/>
          <w:sz w:val="20"/>
        </w:rPr>
        <w:t xml:space="preserve"> shows no effect. </w:t>
      </w:r>
      <w:r>
        <w:rPr>
          <w:rFonts w:ascii="Consolas" w:hAnsi="Consolas"/>
          <w:sz w:val="17"/>
        </w:rPr>
        <w:t>en→en</w:t>
      </w:r>
      <w:r>
        <w:rPr>
          <w:rFonts w:ascii="Times New Roman" w:hAnsi="Times New Roman"/>
          <w:sz w:val="20"/>
        </w:rPr>
        <w:t xml:space="preserve"> shows a small one, and both halves sit at 0.94–1.00, where there is little room to separate anything. </w:t>
      </w:r>
      <w:r>
        <w:rPr>
          <w:rFonts w:ascii="Consolas" w:hAnsi="Consolas"/>
          <w:sz w:val="17"/>
        </w:rPr>
        <w:t>hinglish→en</w:t>
      </w:r>
      <w:r>
        <w:rPr>
          <w:rFonts w:ascii="Times New Roman" w:hAnsi="Times New Roman"/>
          <w:sz w:val="20"/>
        </w:rPr>
        <w:t xml:space="preserve"> shows a large one — but its entire overlap range is 0.000 to 0.044, so the "high-overlap" half means a handful of shared tokens, typically the English name of the scheme. We read that as lexical retrieval needing </w:t>
      </w:r>
      <w:r>
        <w:rPr>
          <w:rFonts w:ascii="Times New Roman" w:hAnsi="Times New Roman"/>
          <w:i/>
          <w:sz w:val="20"/>
        </w:rPr>
        <w:t>some</w:t>
      </w:r>
      <w:r>
        <w:rPr>
          <w:rFonts w:ascii="Times New Roman" w:hAnsi="Times New Roman"/>
          <w:sz w:val="20"/>
        </w:rPr>
        <w:t xml:space="preserve"> surface anchor rather than as questions copying their passage: BM25 reaches 0.679 when a Romanized query carries the English scheme name and 0.148 when it does not, which is the paper's own thesis about surface matching rather than a defect in the annotation.</w:t>
      </w:r>
    </w:p>
    <w:p>
      <w:pPr>
        <w:spacing w:after="0"/>
        <w:ind w:firstLine="288"/>
        <w:jc w:val="both"/>
      </w:pPr>
      <w:r>
        <w:rPr>
          <w:rFonts w:ascii="Times New Roman" w:hAnsi="Times New Roman"/>
          <w:sz w:val="20"/>
        </w:rPr>
        <w:t xml:space="preserve">The honest summary is that leakage is not detectable in the two monolingual cells, and that the code-mixed cell's lexical performance is driven by incidental English tokens in a way no paraphrase instruction can remove.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reverses, and with it the H2 verdict. On the probes no interior weighting beat the endpoints by more than 0.001. On the gold set α = 0.4 reaches 0.547 against 0.484 for pure lexical and 0.416 for pure dense — a margin of 0.062, comfortably outside the noise band. Weighted hybrid fusion does help on these questions, which is the opposite of what §VI-E reports from the probes.</w:t>
      </w:r>
    </w:p>
    <w:p>
      <w:pPr>
        <w:spacing w:after="0"/>
        <w:ind w:firstLine="288"/>
        <w:jc w:val="both"/>
      </w:pPr>
      <w:r>
        <w:rPr>
          <w:rFonts w:ascii="Times New Roman" w:hAnsi="Times New Roman"/>
          <w:sz w:val="20"/>
        </w:rPr>
        <w:t xml:space="preserve">That divergence is itself evidence for the caution in §VI-A. A probe set built by lifting phrasing from target passages flatters lexical retrieval and compresses the differences between fusion settings; the gold questions are written to be answered rather than to be matched, and they separate the methods that the probes could not.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A.2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That is testable by applying the same correction over different dense retrievers, and on the gold set it holds for all three we have embeddings for.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0.522</w:t>
            </w:r>
          </w:p>
        </w:tc>
        <w:tc>
          <w:tcPr>
            <w:tcW w:type="dxa" w:w="2610"/>
          </w:tcPr>
          <w:p>
            <w:pPr>
              <w:spacing w:after="0"/>
            </w:pPr>
            <w:r>
              <w:rPr>
                <w:sz w:val="16"/>
              </w:rPr>
            </w:r>
            <w:r>
              <w:rPr>
                <w:rFonts w:ascii="Times New Roman" w:hAnsi="Times New Roman"/>
                <w:b/>
                <w:sz w:val="16"/>
              </w:rPr>
              <w:t>0.603</w:t>
            </w:r>
          </w:p>
        </w:tc>
        <w:tc>
          <w:tcPr>
            <w:tcW w:type="dxa" w:w="2610"/>
          </w:tcPr>
          <w:p>
            <w:pPr>
              <w:spacing w:after="0"/>
            </w:pPr>
            <w:r>
              <w:rPr>
                <w:sz w:val="16"/>
              </w:rPr>
            </w:r>
            <w:r>
              <w:rPr>
                <w:rFonts w:ascii="Times New Roman" w:hAnsi="Times New Roman"/>
                <w:sz w:val="16"/>
              </w:rPr>
              <w:t>+0.081</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0.416</w:t>
            </w:r>
          </w:p>
        </w:tc>
        <w:tc>
          <w:tcPr>
            <w:tcW w:type="dxa" w:w="2610"/>
          </w:tcPr>
          <w:p>
            <w:pPr>
              <w:spacing w:after="0"/>
            </w:pPr>
            <w:r>
              <w:rPr>
                <w:sz w:val="16"/>
              </w:rPr>
            </w:r>
            <w:r>
              <w:rPr>
                <w:rFonts w:ascii="Times New Roman" w:hAnsi="Times New Roman"/>
                <w:sz w:val="16"/>
              </w:rPr>
              <w:t>0.519</w:t>
            </w:r>
          </w:p>
        </w:tc>
        <w:tc>
          <w:tcPr>
            <w:tcW w:type="dxa" w:w="2610"/>
          </w:tcPr>
          <w:p>
            <w:pPr>
              <w:spacing w:after="0"/>
            </w:pPr>
            <w:r>
              <w:rPr>
                <w:sz w:val="16"/>
              </w:rPr>
            </w:r>
            <w:r>
              <w:rPr>
                <w:rFonts w:ascii="Times New Roman" w:hAnsi="Times New Roman"/>
                <w:sz w:val="16"/>
              </w:rPr>
              <w:t>+0.103</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0.466</w:t>
            </w:r>
          </w:p>
        </w:tc>
        <w:tc>
          <w:tcPr>
            <w:tcW w:type="dxa" w:w="2610"/>
          </w:tcPr>
          <w:p>
            <w:pPr>
              <w:spacing w:after="0"/>
            </w:pPr>
            <w:r>
              <w:rPr>
                <w:sz w:val="16"/>
              </w:rPr>
            </w:r>
            <w:r>
              <w:rPr>
                <w:rFonts w:ascii="Times New Roman" w:hAnsi="Times New Roman"/>
                <w:sz w:val="16"/>
              </w:rPr>
              <w:t>+0.072</w:t>
            </w:r>
          </w:p>
        </w:tc>
      </w:tr>
    </w:tbl>
    <w:p>
      <w:pPr>
        <w:spacing w:after="40"/>
      </w:pPr>
    </w:p>
    <w:p>
      <w:pPr>
        <w:spacing w:after="0"/>
        <w:ind w:firstLine="288"/>
        <w:jc w:val="both"/>
      </w:pPr>
      <w:r>
        <w:rPr>
          <w:rFonts w:ascii="Times New Roman" w:hAnsi="Times New Roman"/>
          <w:sz w:val="20"/>
        </w:rPr>
        <w:t xml:space="preserve">Fusion improves every one, by a similar margin, which is what a claim about the </w:t>
      </w:r>
      <w:r>
        <w:rPr>
          <w:rFonts w:ascii="Times New Roman" w:hAnsi="Times New Roman"/>
          <w:i/>
          <w:sz w:val="20"/>
        </w:rPr>
        <w:t>arithmetic</w:t>
      </w:r>
      <w:r>
        <w:rPr>
          <w:rFonts w:ascii="Times New Roman" w:hAnsi="Times New Roman"/>
          <w:sz w:val="20"/>
        </w:rPr>
        <w:t xml:space="preserve"> rather than the representation predicts.</w:t>
      </w:r>
    </w:p>
    <w:p>
      <w:pPr>
        <w:spacing w:after="0"/>
        <w:ind w:firstLine="288"/>
        <w:jc w:val="both"/>
      </w:pPr>
      <w:r>
        <w:rPr>
          <w:rFonts w:ascii="Times New Roman" w:hAnsi="Times New Roman"/>
          <w:sz w:val="20"/>
        </w:rPr>
        <w:t>It also settles a question §IX previously listed as open. Fusing over LaBSE does not beat fusing over e5-base: it is worse by 0.138 overall (p = 0.0001), and by 0.246 on the monolingual slice. MiniLM leads the cross-lingual slice at 0.578 against 0.500, but the gap is not significant (p = 0.23) and it loses heavily everywhere else. multilingual-e5-base remains the right primary encoder for this corpus, and the §VI-F caveat about LaBSE is a statement about one slice of one probe set rather than a better configuration we declined to use.</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§VI-A.2 applies it over multilingual-e5-base, MiniLM-L12 and LaBSE on the gold set, and it improves each by a similar margin (+0.081, +0.103, +0.072),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