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i/>
          <w:sz w:val="20"/>
        </w:rPr>
        <w:t>(~210 words. Figures marked `[PROBE]`; to be re-measured on the gold set.)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Reciprocal Rank Fusion reaches 0.022 Recall@5 on cross-lingual queries against 0.125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recovering 0.153 cross-lingual and 0.173 code-mixed Recall@5 (p = 0.0001, p = 0.0002) at a cost of 0.044 monolingual Recall@5. An oracle arm bounds what this buys end to end: generation error is 0.597 against retrieval error of 0.193, and the fusion gain is not separable from dense retrieval alone in downstream answer quality at our sample size. We release a 400-item bilingual QA set with an explicit query-language × evidence-language matrix and a four-class unanswerable taxonomy.</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our corpus, plain RRF reaches 0.022 Recall@5 on cross-lingual queries while its own dense retriever, used alone, reaches 0.125.</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0.022 to 0.153 and code-mixed from 0.028 to 0.173, at a measured and reported cost of 0.044 on monolingual queries.</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400 items over Indian government welfare schemes, with an explicit query-language × evidence-language matrix covering six cells, a four-class unanswerable taxonomy, per-item gold passage identifiers, and a documented annotation protocol with blind second-pass agreement.</w:t>
      </w:r>
    </w:p>
    <w:p>
      <w:pPr>
        <w:pStyle w:val="ListBullet"/>
        <w:spacing w:after="0"/>
      </w:pPr>
      <w:r>
        <w:rPr>
          <w:rFonts w:ascii="Times New Roman" w:hAnsi="Times New Roman"/>
          <w:b/>
          <w:sz w:val="20"/>
        </w:rPr>
        <w:t>A four-signal comparison of answerability, and a negative result on the standard one.</w:t>
      </w:r>
      <w:r>
        <w:rPr>
          <w:rFonts w:ascii="Times New Roman" w:hAnsi="Times New Roman"/>
          <w:sz w:val="20"/>
        </w:rPr>
        <w:t xml:space="preserve"> Retrieval-score thresholds carry no information on a corpus whose unanswerable questions concern present topics: answerable and unanswerable questions have indistinguishable top scores — 13.55 against 13.82 for BM25, with the </w:t>
      </w:r>
      <w:r>
        <w:rPr>
          <w:rFonts w:ascii="Times New Roman" w:hAnsi="Times New Roman"/>
          <w:i/>
          <w:sz w:val="20"/>
        </w:rPr>
        <w:t>unanswerable</w:t>
      </w:r>
      <w:r>
        <w:rPr>
          <w:rFonts w:ascii="Times New Roman" w:hAnsi="Times New Roman"/>
          <w:sz w:val="20"/>
        </w:rPr>
        <w:t xml:space="preserve"> marginally higher — and precision across the full sweep stays at the base rate. A retrieval threshold is a corpus-absence detector and answerability is not corpus absence. Both retrieval-side signals degenerate to near-total abstention, the calibrated combination literally refusing every question in the reported set; the generator's own abstention is the only signal producing a usable system, and an entailment check on top of it adds nothing because the generator has already declined nearly everything it should.</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§VI-E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Passage identifiers are stable across re-segmentation runs, which the gold set, the embedding caches and the error analysis all depend on.</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 xml:space="preserve">(Construction complete. </w:t>
      </w:r>
      <w:r>
        <w:rPr>
          <w:rFonts w:ascii="Times New Roman" w:hAnsi="Times New Roman"/>
          <w:i/>
          <w:sz w:val="20"/>
        </w:rPr>
        <w:t>Human verification has not begun: 0 of 400 items are verified</w:t>
      </w:r>
      <w:r>
        <w:rPr>
          <w:rFonts w:ascii="Times New Roman" w:hAnsi="Times New Roman"/>
          <w:i/>
          <w:sz w:val="20"/>
        </w:rPr>
        <w:t>, so every figure drawn from this set is preliminary and κ is not yet measurable.)</w:t>
      </w:r>
    </w:p>
    <w:p>
      <w:pPr>
        <w:spacing w:after="0"/>
        <w:ind w:firstLine="288"/>
        <w:jc w:val="both"/>
      </w:pPr>
      <w:r>
        <w:rPr>
          <w:rFonts w:ascii="Times New Roman" w:hAnsi="Times New Roman"/>
          <w:sz w:val="20"/>
        </w:rPr>
        <w:t xml:space="preserve">The set comprises 400 instances: 320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70</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115</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60</w:t>
            </w:r>
          </w:p>
        </w:tc>
        <w:tc>
          <w:tcPr>
            <w:tcW w:type="dxa" w:w="2610"/>
          </w:tcPr>
          <w:p>
            <w:pPr>
              <w:spacing w:after="0"/>
            </w:pPr>
            <w:r>
              <w:rPr>
                <w:sz w:val="16"/>
              </w:rPr>
            </w:r>
            <w:r>
              <w:rPr>
                <w:rFonts w:ascii="Times New Roman" w:hAnsi="Times New Roman"/>
                <w:sz w:val="16"/>
              </w:rPr>
              <w:t>105</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55</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100</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170</w:t>
            </w:r>
          </w:p>
        </w:tc>
        <w:tc>
          <w:tcPr>
            <w:tcW w:type="dxa" w:w="2610"/>
          </w:tcPr>
          <w:p>
            <w:pPr>
              <w:spacing w:after="0"/>
            </w:pPr>
            <w:r>
              <w:rPr>
                <w:sz w:val="16"/>
              </w:rPr>
            </w:r>
            <w:r>
              <w:rPr>
                <w:rFonts w:ascii="Times New Roman" w:hAnsi="Times New Roman"/>
                <w:sz w:val="16"/>
              </w:rPr>
              <w:t>150</w:t>
            </w:r>
          </w:p>
        </w:tc>
        <w:tc>
          <w:tcPr>
            <w:tcW w:type="dxa" w:w="2610"/>
          </w:tcPr>
          <w:p>
            <w:pPr>
              <w:spacing w:after="0"/>
            </w:pPr>
            <w:r>
              <w:rPr>
                <w:sz w:val="16"/>
              </w:rPr>
            </w:r>
            <w:r>
              <w:rPr>
                <w:rFonts w:ascii="Times New Roman" w:hAnsi="Times New Roman"/>
                <w:b/>
                <w:sz w:val="16"/>
              </w:rPr>
              <w:t>320</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(130), where query and evidence share a language and script; </w:t>
      </w:r>
      <w:r>
        <w:rPr>
          <w:rFonts w:ascii="Times New Roman" w:hAnsi="Times New Roman"/>
          <w:b/>
          <w:sz w:val="20"/>
        </w:rPr>
        <w:t>cross-lingual</w:t>
      </w:r>
      <w:r>
        <w:rPr>
          <w:rFonts w:ascii="Times New Roman" w:hAnsi="Times New Roman"/>
          <w:sz w:val="20"/>
        </w:rPr>
        <w:t xml:space="preserve"> (90), different languages each in native script; and </w:t>
      </w:r>
      <w:r>
        <w:rPr>
          <w:rFonts w:ascii="Times New Roman" w:hAnsi="Times New Roman"/>
          <w:b/>
          <w:sz w:val="20"/>
        </w:rPr>
        <w:t>code-mixed</w:t>
      </w:r>
      <w:r>
        <w:rPr>
          <w:rFonts w:ascii="Times New Roman" w:hAnsi="Times New Roman"/>
          <w:sz w:val="20"/>
        </w:rPr>
        <w:t xml:space="preserve"> (100),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Candidates are bootstrapped with a locally hosted quantized model (Qwen2.5-3B-Instruct, Q4_K_M) and then verified by a human annotator. An item remains marked unverified until a person confirms the question is answerable from the cited passage and corrects the gold answer to the document's exact wording; unverified items are excluded from every reported metric.</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We control for this in three ways: the generation prompt instructs paraphrase rather than extraction; we compute the content-token Jaccard overlap between every question and its gold passage and publish the distribution; and we report the headline retrieval comparison on the low-overlap tertile as well as on the full set. On the English-evidence cell completed to date, median overlap is 0.075 with a maximum of 0.186 — low enough that BM25 is not being handed its answer.</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Original surface text is retained alongside the normalized form throughout, so that citations display what the document actually said.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Min-max is preferred to z-score normalization because BM25 score distributions are strongly right-skewed and z-score leaves the fused ranking dominated by lexical outliers; both are implemented so the choice is ablatable rather than asserted. 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§VI-E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w:t>
      </w:r>
    </w:p>
    <w:p>
      <w:pPr>
        <w:spacing w:after="0"/>
        <w:ind w:firstLine="288"/>
        <w:jc w:val="both"/>
      </w:pPr>
      <w:r>
        <w:rPr>
          <w:rFonts w:ascii="Times New Roman" w:hAnsi="Times New Roman"/>
          <w:sz w:val="20"/>
        </w:rPr>
        <w:t xml:space="preserve">Answerability is decided by one of four signals, evaluated independently so the paper can say which carries the decision. Two are </w:t>
      </w:r>
      <w:r>
        <w:rPr>
          <w:rFonts w:ascii="Times New Roman" w:hAnsi="Times New Roman"/>
          <w:b/>
          <w:sz w:val="20"/>
        </w:rPr>
        <w:t>retrieval-side</w:t>
      </w:r>
      <w:r>
        <w:rPr>
          <w:rFonts w:ascii="Times New Roman" w:hAnsi="Times New Roman"/>
          <w:sz w:val="20"/>
        </w:rPr>
        <w:t xml:space="preserve">: a threshold on the top score, and a calibrated logistic combination over the top score, the top-1-to-top-2 margin, mean top-k similarity, score spread and scheme agreement. Two read the </w:t>
      </w:r>
      <w:r>
        <w:rPr>
          <w:rFonts w:ascii="Times New Roman" w:hAnsi="Times New Roman"/>
          <w:b/>
          <w:sz w:val="20"/>
        </w:rPr>
        <w:t>passage text</w:t>
      </w:r>
      <w:r>
        <w:rPr>
          <w:rFonts w:ascii="Times New Roman" w:hAnsi="Times New Roman"/>
          <w:sz w:val="20"/>
        </w:rPr>
        <w:t xml:space="preserve">: the generator's own </w:t>
      </w:r>
      <w:r>
        <w:rPr>
          <w:rFonts w:ascii="Consolas" w:hAnsi="Consolas"/>
          <w:sz w:val="17"/>
        </w:rPr>
        <w:t>answerable</w:t>
      </w:r>
      <w:r>
        <w:rPr>
          <w:rFonts w:ascii="Times New Roman" w:hAnsi="Times New Roman"/>
          <w:sz w:val="20"/>
        </w:rPr>
        <w:t xml:space="preserve"> report with its confidence, and a natural-language-inference check asking whether the cited passage entails the produced answer. All four are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because it is the one we expected to carry the retrieval-side signals. Maximum similarity indicates how good the best passage looks; it does not indicate whether anything else looked equally good. A near-miss unanswerable question should retrieve several passages at similar scores, because it matches a scheme's subject matter without matching any particular statement, whereas an answerable question usually has one clear winner — so a high maximum score with a small margin should be the signature of the hardest unanswerable class.</w:t>
      </w:r>
    </w:p>
    <w:p>
      <w:pPr>
        <w:spacing w:after="0"/>
        <w:ind w:firstLine="288"/>
        <w:jc w:val="both"/>
      </w:pPr>
      <w:r>
        <w:rPr>
          <w:rFonts w:ascii="Times New Roman" w:hAnsi="Times New Roman"/>
          <w:sz w:val="20"/>
        </w:rPr>
        <w:t>We state that as the design hypothesis it was, rather than as a property of the data. §VI-H measures it: the direction holds, and the magnitude does not. The split between the two kinds of signal is what the results turn on.</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after="0"/>
        <w:ind w:firstLine="288"/>
        <w:jc w:val="both"/>
      </w:pPr>
      <w:r>
        <w:rPr>
          <w:rFonts w:ascii="Times New Roman" w:hAnsi="Times New Roman"/>
          <w:b/>
          <w:sz w:val="20"/>
        </w:rPr>
        <w:t>That protocol is not yet in force, and no number in this paper was produced under it.</w:t>
      </w:r>
      <w:r>
        <w:rPr>
          <w:rFonts w:ascii="Times New Roman" w:hAnsi="Times New Roman"/>
          <w:sz w:val="20"/>
        </w:rPr>
        <w:t xml:space="preserve"> The split is drawn over </w:t>
      </w:r>
      <w:r>
        <w:rPr>
          <w:rFonts w:ascii="Times New Roman" w:hAnsi="Times New Roman"/>
          <w:i/>
          <w:sz w:val="20"/>
        </w:rPr>
        <w:t>verified</w:t>
      </w:r>
      <w:r>
        <w:rPr>
          <w:rFonts w:ascii="Times New Roman" w:hAnsi="Times New Roman"/>
          <w:sz w:val="20"/>
        </w:rPr>
        <w:t xml:space="preserve"> items only, and human verification of the 400-item set is not complete, so the tool that seals it refuses to run. The figures reported here therefore come from splits drawn per-experiment: answerability fits on a seeded 30% stratified draw and reports on the remainder, and the retrieval results use synthetic probes with no tuning against them at all. Nothing has been tuned against a held-out set that is later reported, which is the specific hazard the protocol guards, but the guarantee is currently procedural rather than enforced. Every figure is marked </w:t>
      </w:r>
      <w:r>
        <w:rPr>
          <w:rFonts w:ascii="Consolas" w:hAnsi="Consolas"/>
          <w:sz w:val="17"/>
        </w:rPr>
        <w:t>[PROBE]</w:t>
      </w:r>
      <w:r>
        <w:rPr>
          <w:rFonts w:ascii="Times New Roman" w:hAnsi="Times New Roman"/>
          <w:sz w:val="20"/>
        </w:rPr>
        <w:t xml:space="preserve"> or as drawn from the unverified set, and they are preliminary in that precise sense.</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What the probe set can support</w:t>
      </w:r>
    </w:p>
    <w:p>
      <w:pPr>
        <w:spacing w:after="0"/>
        <w:ind w:firstLine="288"/>
        <w:jc w:val="both"/>
      </w:pPr>
      <w:r>
        <w:rPr>
          <w:rFonts w:ascii="Times New Roman" w:hAnsi="Times New Roman"/>
          <w:sz w:val="20"/>
        </w:rPr>
        <w:t>All results in this section are measured on 180 synthetic probes constructed from real passages and real article titles, with ground truth by construction. The human-verified 400-item set exists but has not completed verification, and no number here is reported as a gold-set result.</w:t>
      </w:r>
    </w:p>
    <w:p>
      <w:pPr>
        <w:spacing w:after="0"/>
        <w:ind w:firstLine="288"/>
        <w:jc w:val="both"/>
      </w:pPr>
      <w:r>
        <w:rPr>
          <w:rFonts w:ascii="Times New Roman" w:hAnsi="Times New Roman"/>
          <w:sz w:val="20"/>
        </w:rPr>
        <w:t xml:space="preserve">The probe set's composition bounds what it can show. 120 of the 180 probes are monolingual, and a substantial share are </w:t>
      </w:r>
      <w:r>
        <w:rPr>
          <w:rFonts w:ascii="Times New Roman" w:hAnsi="Times New Roman"/>
          <w:i/>
          <w:sz w:val="20"/>
        </w:rPr>
        <w:t>fragment</w:t>
      </w:r>
      <w:r>
        <w:rPr>
          <w:rFonts w:ascii="Times New Roman" w:hAnsi="Times New Roman"/>
          <w:sz w:val="20"/>
        </w:rPr>
        <w:t>-shaped, lifting phrasing directly from the target passage. This flatters lexical retrieval considerably. The cross-lingual probes have near-zero lexical overlap by construction and are the only shape that speaks honestly to cross-lingual retrieval.</w:t>
      </w:r>
    </w:p>
    <w:p>
      <w:pPr>
        <w:spacing w:after="0"/>
        <w:ind w:firstLine="288"/>
        <w:jc w:val="both"/>
      </w:pPr>
      <w:r>
        <w:rPr>
          <w:rFonts w:ascii="Times New Roman" w:hAnsi="Times New Roman"/>
          <w:sz w:val="20"/>
        </w:rPr>
        <w:t xml:space="preserve">We therefore draw no conclusion from these probes about the </w:t>
      </w:r>
      <w:r>
        <w:rPr>
          <w:rFonts w:ascii="Times New Roman" w:hAnsi="Times New Roman"/>
          <w:i/>
          <w:sz w:val="20"/>
        </w:rPr>
        <w:t>ranking</w:t>
      </w:r>
      <w:r>
        <w:rPr>
          <w:rFonts w:ascii="Times New Roman" w:hAnsi="Times New Roman"/>
          <w:sz w:val="20"/>
        </w:rPr>
        <w:t xml:space="preserve"> of retrievers overall. What the probe set does support is the finding this paper turns on, because that finding is structural rather than statistical: a lexical retriever's recall across a script boundary is zero by construction, and a probe set cannot manufacture that. The magnitudes below may move on the gold set. The mechanism will not.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before="200" w:after="80"/>
        <w:jc w:val="left"/>
      </w:pPr>
      <w:r>
        <w:rPr>
          <w:rFonts w:ascii="Times New Roman" w:hAnsi="Times New Roman"/>
          <w:i/>
          <w:sz w:val="20"/>
        </w:rPr>
        <w:t>A.1 A first look at the same experiments on the gold set</w:t>
      </w:r>
    </w:p>
    <w:p>
      <w:pPr>
        <w:spacing w:after="0"/>
        <w:ind w:firstLine="288"/>
        <w:jc w:val="both"/>
      </w:pPr>
      <w:r>
        <w:rPr>
          <w:rFonts w:ascii="Times New Roman" w:hAnsi="Times New Roman"/>
          <w:sz w:val="20"/>
        </w:rPr>
        <w:t xml:space="preserve">The retrieval sections below are probe-based. We have since run the identical evaluation over the 320 answerable gold items, and report the comparison here because two of the probe-based conclusions do not survive it. These items are </w:t>
      </w:r>
      <w:r>
        <w:rPr>
          <w:rFonts w:ascii="Times New Roman" w:hAnsi="Times New Roman"/>
          <w:b/>
          <w:sz w:val="20"/>
        </w:rPr>
        <w:t>not verified either</w:t>
      </w:r>
      <w:r>
        <w:rPr>
          <w:rFonts w:ascii="Times New Roman" w:hAnsi="Times New Roman"/>
          <w:sz w:val="20"/>
        </w:rPr>
        <w:t>, so this is a second preliminary source rather than a correction; the headline sections keep their probe numbers until verification settles which to report.</w:t>
      </w:r>
    </w:p>
    <w:p>
      <w:pPr>
        <w:spacing w:after="0"/>
        <w:ind w:firstLine="288"/>
        <w:jc w:val="both"/>
      </w:pPr>
      <w:r>
        <w:rPr>
          <w:rFonts w:ascii="Times New Roman" w:hAnsi="Times New Roman"/>
          <w:b/>
          <w:sz w:val="20"/>
        </w:rPr>
        <w:t>What the gold set confirms, more strongly than the probes did.</w:t>
      </w:r>
      <w:r>
        <w:rPr>
          <w:rFonts w:ascii="Times New Roman" w:hAnsi="Times New Roman"/>
          <w:sz w:val="20"/>
        </w:rPr>
        <w:t xml:space="preserve"> Lexical retrieval still collapses across the language boundary: BM25 reaches 0.977 monolingual and 0.056 cross-lingual, a ratio worse than on the probes. MuRIL still scores exactly 0.000 cross-lingually. And the fusion penalty is still there and still visible in the same shape — plain RRF reaches 0.111 on the cross-lingual slice while the dense retriever it contains reaches 0.367.</w:t>
      </w:r>
    </w:p>
    <w:p>
      <w:pPr>
        <w:spacing w:after="0"/>
        <w:ind w:firstLine="288"/>
        <w:jc w:val="both"/>
      </w:pPr>
      <w:r>
        <w:rPr>
          <w:rFonts w:ascii="Times New Roman" w:hAnsi="Times New Roman"/>
          <w:b/>
          <w:sz w:val="20"/>
        </w:rPr>
        <w:t>What it contradicts.</w:t>
      </w:r>
      <w:r>
        <w:rPr>
          <w:rFonts w:ascii="Times New Roman" w:hAnsi="Times New Roman"/>
          <w:sz w:val="20"/>
        </w:rPr>
        <w:t xml:space="preserve"> Two things.</w:t>
      </w:r>
    </w:p>
    <w:p>
      <w:pPr>
        <w:spacing w:after="0"/>
        <w:ind w:firstLine="288"/>
        <w:jc w:val="both"/>
      </w:pPr>
      <w:r>
        <w:rPr>
          <w:rFonts w:ascii="Times New Roman" w:hAnsi="Times New Roman"/>
          <w:sz w:val="20"/>
        </w:rPr>
        <w:t>First, §VI-F's LaBSE result reverses. On the probes LaBSE led the code-mixed slice at 0.332; on the gold set it scores 0.050 there, and lexical retrieval leads at 0.230. The gold code-mixed questions are Romanized Hindi carrying English scheme names, which BM25 can match directly against the English passages, and the probe set's code-mixed shape evidently did not reproduce that. §VI-F should be read as a claim about the probe set until verification decides.</w:t>
      </w:r>
    </w:p>
    <w:p>
      <w:pPr>
        <w:spacing w:after="0"/>
        <w:ind w:firstLine="288"/>
        <w:jc w:val="both"/>
      </w:pPr>
      <w:r>
        <w:rPr>
          <w:rFonts w:ascii="Times New Roman" w:hAnsi="Times New Roman"/>
          <w:sz w:val="20"/>
        </w:rPr>
        <w:t>Second, the α sweep reverses, and with it the H2 verdict. On the probes no interior weighting beat the endpoints by more than 0.001. On the gold set α = 0.4 reaches 0.547 against 0.484 for pure lexical and 0.416 for pure dense — a margin of 0.062, comfortably outside the noise band. Weighted hybrid fusion does help on these questions, which is the opposite of what §VI-E reports from the probes.</w:t>
      </w:r>
    </w:p>
    <w:p>
      <w:pPr>
        <w:spacing w:after="0"/>
        <w:ind w:firstLine="288"/>
        <w:jc w:val="both"/>
      </w:pPr>
      <w:r>
        <w:rPr>
          <w:rFonts w:ascii="Times New Roman" w:hAnsi="Times New Roman"/>
          <w:sz w:val="20"/>
        </w:rPr>
        <w:t xml:space="preserve">That divergence is itself evidence for the caution in §VI-A. A probe set built by lifting phrasing from target passages flatters lexical retrieval and compresses the differences between fusion settings; the gold questions are written to be answered rather than to be matched, and they separate the methods that the probes could not. The full table is committed as </w:t>
      </w:r>
      <w:r>
        <w:rPr>
          <w:rFonts w:ascii="Consolas" w:hAnsi="Consolas"/>
          <w:sz w:val="17"/>
        </w:rPr>
        <w:t>evals/report-retrieval-goldset.txt</w:t>
      </w:r>
      <w:r>
        <w:rPr>
          <w:rFonts w:ascii="Times New Roman" w:hAnsi="Times New Roman"/>
          <w:sz w:val="20"/>
        </w:rPr>
        <w:t>.</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Figure 2 plots the same numbers. Lexical retrieval does not cross the language boundary at all: BM25 scores 0.740 monolingual and 0.006 cross-lingual — a factor of more than a hundred.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 xml:space="preserve">MuRIL, pretrained on seventeen Indian languages, is the weakest dense encoder tested at 0.238 Recall@5. It sits below MiniLM-L12 at 0.303, a model with roughly half the parameters but trained with a retrieval objective — though we note that this particular ordering is </w:t>
      </w:r>
      <w:r>
        <w:rPr>
          <w:rFonts w:ascii="Times New Roman" w:hAnsi="Times New Roman"/>
          <w:b/>
          <w:sz w:val="20"/>
        </w:rPr>
        <w:t>not statistically established</w:t>
      </w:r>
      <w:r>
        <w:rPr>
          <w:rFonts w:ascii="Times New Roman" w:hAnsi="Times New Roman"/>
          <w:sz w:val="20"/>
        </w:rPr>
        <w:t>: paired over the 180 probes the gap is +0.065 at p = 0.069, which does not clear the 0.05 level we report against elsewhere.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needs no test at all, and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 not a small number, but no correct retrieval in 60 queries.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3 plots the table, with the monolingual regression on the same axes as the gains rather than in a separate panel. 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plotted as Figure 4, which found no interior weighting beating both endpoints by more than 0.001 and recorded the hybrid hypothesis as unsupported. That verdict was correct about weighted fusion and wrong about the hypothesis: hybrid retrieval does beat its components here, once fusion stops penalising passages for their script.</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against 0.173 for script-aware fusion over BM25 and e5-base. Paired over the 30 code-mixed queries that is +0.159 at </w:t>
      </w:r>
      <w:r>
        <w:rPr>
          <w:rFonts w:ascii="Times New Roman" w:hAnsi="Times New Roman"/>
          <w:b/>
          <w:sz w:val="20"/>
        </w:rPr>
        <w:t>p = 0.0094</w:t>
      </w:r>
      <w:r>
        <w:rPr>
          <w:rFonts w:ascii="Times New Roman" w:hAnsi="Times New Roman"/>
          <w:sz w:val="20"/>
        </w:rPr>
        <w:t>, so on code-mixed queries choosing a different encoder genuinely outperforms correcting the fusion over a weaker one.</w:t>
      </w:r>
    </w:p>
    <w:p>
      <w:pPr>
        <w:spacing w:after="0"/>
        <w:ind w:firstLine="288"/>
        <w:jc w:val="both"/>
      </w:pPr>
      <w:r>
        <w:rPr>
          <w:rFonts w:ascii="Times New Roman" w:hAnsi="Times New Roman"/>
          <w:sz w:val="20"/>
        </w:rPr>
        <w:t>The reverse holds elsewhere, and equally significantly. On the monolingual slice LaBSE loses to the fused system by 0.233 (p = 0.0001), and on the cross-lingual slice it is behind by 0.056, which is within noise (p = 0.34). LaBSE is not a better retriever; it is a differently shaped one, and the shape happens to suit Romanized Hindi.</w:t>
      </w:r>
    </w:p>
    <w:p>
      <w:pPr>
        <w:spacing w:after="0"/>
        <w:ind w:firstLine="288"/>
        <w:jc w:val="both"/>
      </w:pPr>
      <w:r>
        <w:rPr>
          <w:rFonts w:ascii="Times New Roman" w:hAnsi="Times New Roman"/>
          <w:sz w:val="20"/>
        </w:rPr>
        <w:t>We state this plainly because it qualifies the practical reading of §VI-E. The fusion correction is orthogonal to the choice of encoder: it is a statement about how rankings are combined, and nothing prevents applying it over LaBSE, which we have not tested and would expect to be stronger than either.</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If this survives the gold set, the practical guidance is to select the encoder by query </w:t>
      </w:r>
      <w:r>
        <w:rPr>
          <w:rFonts w:ascii="Times New Roman" w:hAnsi="Times New Roman"/>
          <w:i/>
          <w:sz w:val="20"/>
        </w:rPr>
        <w:t>script</w:t>
      </w:r>
      <w:r>
        <w:rPr>
          <w:rFonts w:ascii="Times New Roman" w:hAnsi="Times New Roman"/>
          <w:sz w:val="20"/>
        </w:rPr>
        <w:t xml:space="preserve"> rather than by language coverage, and it is the most immediately useful finding in this section. It needs the gold set before it can be claimed.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Module 4, 72 items per arm</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0.014</w:t>
            </w:r>
          </w:p>
        </w:tc>
        <w:tc>
          <w:tcPr>
            <w:tcW w:type="dxa" w:w="2088"/>
          </w:tcPr>
          <w:p>
            <w:pPr>
              <w:spacing w:after="0"/>
            </w:pPr>
            <w:r>
              <w:rPr>
                <w:sz w:val="16"/>
              </w:rPr>
            </w:r>
            <w:r>
              <w:rPr>
                <w:rFonts w:ascii="Times New Roman" w:hAnsi="Times New Roman"/>
                <w:sz w:val="16"/>
              </w:rPr>
              <w:t>0.065</w:t>
            </w:r>
          </w:p>
        </w:tc>
        <w:tc>
          <w:tcPr>
            <w:tcW w:type="dxa" w:w="2088"/>
          </w:tcPr>
          <w:p>
            <w:pPr>
              <w:spacing w:after="0"/>
            </w:pPr>
            <w:r>
              <w:rPr>
                <w:sz w:val="16"/>
              </w:rPr>
            </w:r>
            <w:r>
              <w:rPr>
                <w:rFonts w:ascii="Times New Roman" w:hAnsi="Times New Roman"/>
                <w:sz w:val="16"/>
              </w:rPr>
              <w:t>0.486</w:t>
            </w:r>
          </w:p>
        </w:tc>
        <w:tc>
          <w:tcPr>
            <w:tcW w:type="dxa" w:w="2088"/>
          </w:tcPr>
          <w:p>
            <w:pPr>
              <w:spacing w:after="0"/>
            </w:pPr>
            <w:r>
              <w:rPr>
                <w:sz w:val="16"/>
              </w:rPr>
            </w:r>
            <w:r>
              <w:rPr>
                <w:rFonts w:ascii="Times New Roman" w:hAnsi="Times New Roman"/>
                <w:sz w:val="16"/>
              </w:rPr>
              <w:t>0.162</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sz w:val="16"/>
              </w:rPr>
              <w:t>0.207</w:t>
            </w:r>
          </w:p>
        </w:tc>
        <w:tc>
          <w:tcPr>
            <w:tcW w:type="dxa" w:w="2088"/>
          </w:tcPr>
          <w:p>
            <w:pPr>
              <w:spacing w:after="0"/>
            </w:pPr>
            <w:r>
              <w:rPr>
                <w:sz w:val="16"/>
              </w:rPr>
            </w:r>
            <w:r>
              <w:rPr>
                <w:rFonts w:ascii="Times New Roman" w:hAnsi="Times New Roman"/>
                <w:sz w:val="16"/>
              </w:rPr>
              <w:t>0.417</w:t>
            </w:r>
          </w:p>
        </w:tc>
        <w:tc>
          <w:tcPr>
            <w:tcW w:type="dxa" w:w="2088"/>
          </w:tcPr>
          <w:p>
            <w:pPr>
              <w:spacing w:after="0"/>
            </w:pPr>
            <w:r>
              <w:rPr>
                <w:sz w:val="16"/>
              </w:rPr>
            </w:r>
            <w:r>
              <w:rPr>
                <w:rFonts w:ascii="Times New Roman" w:hAnsi="Times New Roman"/>
                <w:sz w:val="16"/>
              </w:rPr>
              <w:t>0.762</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b/>
                <w:sz w:val="16"/>
              </w:rPr>
              <w:t>0.210</w:t>
            </w:r>
          </w:p>
        </w:tc>
        <w:tc>
          <w:tcPr>
            <w:tcW w:type="dxa" w:w="2088"/>
          </w:tcPr>
          <w:p>
            <w:pPr>
              <w:spacing w:after="0"/>
            </w:pPr>
            <w:r>
              <w:rPr>
                <w:sz w:val="16"/>
              </w:rPr>
            </w:r>
            <w:r>
              <w:rPr>
                <w:rFonts w:ascii="Times New Roman" w:hAnsi="Times New Roman"/>
                <w:sz w:val="16"/>
              </w:rPr>
              <w:t>0.361</w:t>
            </w:r>
          </w:p>
        </w:tc>
        <w:tc>
          <w:tcPr>
            <w:tcW w:type="dxa" w:w="2088"/>
          </w:tcPr>
          <w:p>
            <w:pPr>
              <w:spacing w:after="0"/>
            </w:pPr>
            <w:r>
              <w:rPr>
                <w:sz w:val="16"/>
              </w:rPr>
            </w:r>
            <w:r>
              <w:rPr>
                <w:rFonts w:ascii="Times New Roman" w:hAnsi="Times New Roman"/>
                <w:b/>
                <w:sz w:val="16"/>
              </w:rPr>
              <w:t>0.826</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0.194</w:t>
            </w:r>
          </w:p>
        </w:tc>
        <w:tc>
          <w:tcPr>
            <w:tcW w:type="dxa" w:w="2088"/>
          </w:tcPr>
          <w:p>
            <w:pPr>
              <w:spacing w:after="0"/>
            </w:pPr>
            <w:r>
              <w:rPr>
                <w:sz w:val="16"/>
              </w:rPr>
            </w:r>
            <w:r>
              <w:rPr>
                <w:rFonts w:ascii="Times New Roman" w:hAnsi="Times New Roman"/>
                <w:sz w:val="16"/>
              </w:rPr>
              <w:t>0.948</w:t>
            </w:r>
          </w:p>
        </w:tc>
      </w:tr>
    </w:tbl>
    <w:p>
      <w:pPr>
        <w:spacing w:after="40"/>
      </w:pP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actually supports — rises from 0.162 closed-book to 0.826 with retrieval, and to 0.948 given the gold passage. The closed-book arm answers 37 of 72 questions and only 16% of those answers are supported by the evidence that would have justified them. It is not declining to answer; it is answering from memory about specific eligibility thresholds and scheme parameters, and is usually wrong. This is the behaviour the system exists to prevent, and retrieval prevents most of it.</w:t>
      </w:r>
    </w:p>
    <w:p>
      <w:pPr>
        <w:spacing w:after="0"/>
        <w:ind w:firstLine="288"/>
        <w:jc w:val="both"/>
      </w:pPr>
      <w:r>
        <w:rPr>
          <w:rFonts w:ascii="Times New Roman" w:hAnsi="Times New Roman"/>
          <w:sz w:val="20"/>
        </w:rPr>
        <w:t>Abstention falls monotonically as the evidence improves, from 0.486 to 0.417 to 0.361 to 0.194. The generator abstains less when it has something to work from, which is the desired direction: the abstentions are responding to the absence of evidence rather than to a fixed conservatism.</w:t>
      </w:r>
    </w:p>
    <w:p>
      <w:pPr>
        <w:spacing w:after="0"/>
        <w:ind w:firstLine="288"/>
        <w:jc w:val="both"/>
      </w:pPr>
      <w:r>
        <w:rPr>
          <w:rFonts w:ascii="Times New Roman" w:hAnsi="Times New Roman"/>
          <w:b/>
          <w:sz w:val="20"/>
        </w:rPr>
        <w:t>The fusion result does not measurably propagate to generation, and the unpaired table is misleading about it.</w:t>
      </w:r>
      <w:r>
        <w:rPr>
          <w:rFonts w:ascii="Times New Roman" w:hAnsi="Times New Roman"/>
          <w:sz w:val="20"/>
        </w:rPr>
        <w:t xml:space="preserve"> Arm C's citation support of 0.826 against arm B's 0.762 is computed over different denominators — the arms answer 46 and 42 questions respectively — and paired over the 39 questions both answered, the difference is +0.026 at p = 1.00. On token-F1 it is +0.003 at p = 0.89.</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+0.141, p = 0.0003 *</w:t>
            </w:r>
          </w:p>
        </w:tc>
        <w:tc>
          <w:tcPr>
            <w:tcW w:type="dxa" w:w="3480"/>
          </w:tcPr>
          <w:p>
            <w:pPr>
              <w:spacing w:after="0"/>
            </w:pPr>
            <w:r>
              <w:rPr>
                <w:sz w:val="16"/>
              </w:rPr>
            </w:r>
            <w:r>
              <w:rPr>
                <w:rFonts w:ascii="Times New Roman" w:hAnsi="Times New Roman"/>
                <w:sz w:val="16"/>
              </w:rPr>
              <w:t>+0.593,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+0.003, p = 0.89</w:t>
            </w:r>
          </w:p>
        </w:tc>
        <w:tc>
          <w:tcPr>
            <w:tcW w:type="dxa" w:w="3480"/>
          </w:tcPr>
          <w:p>
            <w:pPr>
              <w:spacing w:after="0"/>
            </w:pPr>
            <w:r>
              <w:rPr>
                <w:sz w:val="16"/>
              </w:rPr>
            </w:r>
            <w:r>
              <w:rPr>
                <w:rFonts w:ascii="Times New Roman" w:hAnsi="Times New Roman"/>
                <w:sz w:val="16"/>
              </w:rPr>
              <w:t>+0.026,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+0.193, p = 0.0002 *</w:t>
            </w:r>
          </w:p>
        </w:tc>
        <w:tc>
          <w:tcPr>
            <w:tcW w:type="dxa" w:w="3480"/>
          </w:tcPr>
          <w:p>
            <w:pPr>
              <w:spacing w:after="0"/>
            </w:pPr>
            <w:r>
              <w:rPr>
                <w:sz w:val="16"/>
              </w:rPr>
            </w:r>
            <w:r>
              <w:rPr>
                <w:rFonts w:ascii="Times New Roman" w:hAnsi="Times New Roman"/>
                <w:sz w:val="16"/>
              </w:rPr>
              <w:t>+0.143, p = 0.068</w:t>
            </w:r>
          </w:p>
        </w:tc>
      </w:tr>
    </w:tbl>
    <w:p>
      <w:pPr>
        <w:spacing w:after="40"/>
      </w:pPr>
    </w:p>
    <w:p>
      <w:pPr>
        <w:spacing w:after="0"/>
        <w:ind w:firstLine="288"/>
        <w:jc w:val="both"/>
      </w:pPr>
      <w:r>
        <w:rPr>
          <w:rFonts w:ascii="Times New Roman" w:hAnsi="Times New Roman"/>
          <w:sz w:val="20"/>
        </w:rPr>
        <w:t xml:space="preserve">So the honest statement is narrower than the retrieval numbers invite.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and with this generator, is not distinguishable: the 0.131 Recall@5 gain of §VI-E does not produce a detectable difference in answer quality or grounding over dense retrieval alone.</w:t>
      </w:r>
    </w:p>
    <w:p>
      <w:pPr>
        <w:spacing w:after="0"/>
        <w:ind w:firstLine="288"/>
        <w:jc w:val="both"/>
      </w:pPr>
      <w:r>
        <w:rPr>
          <w:rFonts w:ascii="Times New Roman" w:hAnsi="Times New Roman"/>
          <w:sz w:val="20"/>
        </w:rPr>
        <w:t>We do not read this as evidence that the fusion gain is illusory — §VI-E measures it directly and significantly, and the oracle row shows retrieval headroom of 0.193 that is significant at p = 0.0002. We read it as the expected consequence of a generator that loses 0.597 on its own (§VI-G.1): a retrieval improvement has to survive that noise floor to show up downstream, and on 72 questions it does not. A larger sample, or a generator that wastes less of the evidence it is given, would be the way to detect it if it is there.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 and the result qualifies this paper's own contribution.</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0.403</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0.210</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0.193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0.597</w:t>
            </w:r>
          </w:p>
        </w:tc>
      </w:tr>
    </w:tbl>
    <w:p>
      <w:pPr>
        <w:spacing w:after="40"/>
      </w:pPr>
    </w:p>
    <w:p>
      <w:pPr>
        <w:spacing w:after="0"/>
        <w:ind w:firstLine="288"/>
        <w:jc w:val="both"/>
      </w:pPr>
      <w:r>
        <w:rPr>
          <w:rFonts w:ascii="Times New Roman" w:hAnsi="Times New Roman"/>
          <w:sz w:val="20"/>
        </w:rPr>
        <w:t xml:space="preserve">Generation error is three times retrieval error. Given the correct passage and nothing to find, the 3B quantized generator still reaches only 0.403 token-F1. The ceiling on what </w:t>
      </w:r>
      <w:r>
        <w:rPr>
          <w:rFonts w:ascii="Times New Roman" w:hAnsi="Times New Roman"/>
          <w:i/>
          <w:sz w:val="20"/>
        </w:rPr>
        <w:t>any</w:t>
      </w:r>
      <w:r>
        <w:rPr>
          <w:rFonts w:ascii="Times New Roman" w:hAnsi="Times New Roman"/>
          <w:sz w:val="20"/>
        </w:rPr>
        <w:t xml:space="preserve"> retrieval improvement can buy on this corpus, with this generator, is 0.193 — and script-aware fusion has already taken part of it.</w:t>
      </w:r>
    </w:p>
    <w:p>
      <w:pPr>
        <w:spacing w:after="0"/>
        <w:ind w:firstLine="288"/>
        <w:jc w:val="both"/>
      </w:pPr>
      <w:r>
        <w:rPr>
          <w:rFonts w:ascii="Times New Roman" w:hAnsi="Times New Roman"/>
          <w:sz w:val="20"/>
        </w:rPr>
        <w:t xml:space="preserve">We state this plainly because it bounds the practical reading of §VI-E. The fusion correction is a real and large improvement to </w:t>
      </w:r>
      <w:r>
        <w:rPr>
          <w:rFonts w:ascii="Times New Roman" w:hAnsi="Times New Roman"/>
          <w:i/>
          <w:sz w:val="20"/>
        </w:rPr>
        <w:t>retrieval</w:t>
      </w:r>
      <w:r>
        <w:rPr>
          <w:rFonts w:ascii="Times New Roman" w:hAnsi="Times New Roman"/>
          <w:sz w:val="20"/>
        </w:rPr>
        <w:t>, measured as retrieval; it is not a claim that retrieval is the binding constraint on end-to-end answer quality here. On this corpus it is not. A reader whose priority is answer quality rather than evidence selection should read the 0.597 first, and it points at the generator — its size, its quantization, or its prompt — rather than at the retriever.</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0.162</w:t>
            </w:r>
          </w:p>
        </w:tc>
        <w:tc>
          <w:tcPr>
            <w:tcW w:type="dxa" w:w="3480"/>
          </w:tcPr>
          <w:p>
            <w:pPr>
              <w:spacing w:after="0"/>
            </w:pPr>
            <w:r>
              <w:rPr>
                <w:sz w:val="16"/>
              </w:rPr>
            </w:r>
            <w:r>
              <w:rPr>
                <w:rFonts w:ascii="Times New Roman" w:hAnsi="Times New Roman"/>
                <w:sz w:val="16"/>
              </w:rPr>
              <w:t>0.297</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0.762</w:t>
            </w:r>
          </w:p>
        </w:tc>
        <w:tc>
          <w:tcPr>
            <w:tcW w:type="dxa" w:w="3480"/>
          </w:tcPr>
          <w:p>
            <w:pPr>
              <w:spacing w:after="0"/>
            </w:pPr>
            <w:r>
              <w:rPr>
                <w:sz w:val="16"/>
              </w:rPr>
            </w:r>
            <w:r>
              <w:rPr>
                <w:rFonts w:ascii="Times New Roman" w:hAnsi="Times New Roman"/>
                <w:sz w:val="16"/>
              </w:rPr>
              <w:t>0.476</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0.826</w:t>
            </w:r>
          </w:p>
        </w:tc>
        <w:tc>
          <w:tcPr>
            <w:tcW w:type="dxa" w:w="3480"/>
          </w:tcPr>
          <w:p>
            <w:pPr>
              <w:spacing w:after="0"/>
            </w:pPr>
            <w:r>
              <w:rPr>
                <w:sz w:val="16"/>
              </w:rPr>
            </w:r>
            <w:r>
              <w:rPr>
                <w:rFonts w:ascii="Times New Roman" w:hAnsi="Times New Roman"/>
                <w:sz w:val="16"/>
              </w:rPr>
              <w:t>0.391</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0.948</w:t>
            </w:r>
          </w:p>
        </w:tc>
        <w:tc>
          <w:tcPr>
            <w:tcW w:type="dxa" w:w="3480"/>
          </w:tcPr>
          <w:p>
            <w:pPr>
              <w:spacing w:after="0"/>
            </w:pPr>
            <w:r>
              <w:rPr>
                <w:sz w:val="16"/>
              </w:rPr>
            </w:r>
            <w:r>
              <w:rPr>
                <w:rFonts w:ascii="Times New Roman" w:hAnsi="Times New Roman"/>
                <w:sz w:val="16"/>
              </w:rPr>
              <w:t>0.569</w:t>
            </w:r>
          </w:p>
        </w:tc>
      </w:tr>
    </w:tbl>
    <w:p>
      <w:pPr>
        <w:spacing w:after="40"/>
      </w:pPr>
    </w:p>
    <w:p>
      <w:pPr>
        <w:spacing w:after="0"/>
        <w:ind w:firstLine="288"/>
        <w:jc w:val="both"/>
      </w:pPr>
      <w:r>
        <w:rPr>
          <w:rFonts w:ascii="Times New Roman" w:hAnsi="Times New Roman"/>
          <w:sz w:val="20"/>
        </w:rPr>
        <w:t xml:space="preserve">H3 survives under both: every retrieval arm beats closed-book either way. But the RAG arms lose roughly half their support when the criterion changes from "the answer's tokens appear in order in the cited passage" to "the passage entails the answer", and the entailment column puts arm C </w:t>
      </w:r>
      <w:r>
        <w:rPr>
          <w:rFonts w:ascii="Times New Roman" w:hAnsi="Times New Roman"/>
          <w:i/>
          <w:sz w:val="20"/>
        </w:rPr>
        <w:t>below</w:t>
      </w:r>
      <w:r>
        <w:rPr>
          <w:rFonts w:ascii="Times New Roman" w:hAnsi="Times New Roman"/>
          <w:sz w:val="20"/>
        </w:rPr>
        <w:t xml:space="preserve"> arm B.</w:t>
      </w:r>
    </w:p>
    <w:p>
      <w:pPr>
        <w:spacing w:after="0"/>
        <w:ind w:firstLine="288"/>
        <w:jc w:val="both"/>
      </w:pPr>
      <w:r>
        <w:rPr>
          <w:rFonts w:ascii="Times New Roman" w:hAnsi="Times New Roman"/>
          <w:sz w:val="20"/>
        </w:rPr>
        <w:t xml:space="preserve">We checked the obvious artefact and it is not the cause. </w:t>
      </w:r>
      <w:r>
        <w:rPr>
          <w:rFonts w:ascii="Consolas" w:hAnsi="Consolas"/>
          <w:sz w:val="17"/>
        </w:rPr>
        <w:t>NLIScorer</w:t>
      </w:r>
      <w:r>
        <w:rPr>
          <w:rFonts w:ascii="Times New Roman" w:hAnsi="Times New Roman"/>
          <w:sz w:val="20"/>
        </w:rPr>
        <w:t xml:space="preserve"> truncates at 384 tokens, and the retrieved context for arms B and C runs to ~780 words, which would truncate most of it away. But the premise actually scored is the </w:t>
      </w:r>
      <w:r>
        <w:rPr>
          <w:rFonts w:ascii="Times New Roman" w:hAnsi="Times New Roman"/>
          <w:i/>
          <w:sz w:val="20"/>
        </w:rPr>
        <w:t>cited</w:t>
      </w:r>
      <w:r>
        <w:rPr>
          <w:rFonts w:ascii="Times New Roman" w:hAnsi="Times New Roman"/>
          <w:sz w:val="20"/>
        </w:rPr>
        <w:t xml:space="preserve"> passage, not the whole context, and citations resolve for 40 of 42 answers in arm B and 46 of 46 in arm C. Median premise length is 139–168 words and only 3 of 183 scored pairs exceed the limit, so the entailment figures rest on short, comparable premises.</w:t>
      </w:r>
    </w:p>
    <w:p>
      <w:pPr>
        <w:spacing w:after="0"/>
        <w:ind w:firstLine="288"/>
        <w:jc w:val="both"/>
      </w:pPr>
      <w:r>
        <w:rPr>
          <w:rFonts w:ascii="Times New Roman" w:hAnsi="Times New Roman"/>
          <w:sz w:val="20"/>
        </w:rPr>
        <w:t>The gap is therefore a real property of the answers: they reuse the cited passage's wording without saying what the passage says, which is the failure mode ROUGE-L precision is structurally blind to. Whether the entailment model is itself well calibrated on Hindi and code-mixed answers is a separate question we have not established, so we report both columns rather than choosing one.</w:t>
      </w:r>
    </w:p>
    <w:p>
      <w:pPr>
        <w:spacing w:after="0"/>
        <w:ind w:firstLine="288"/>
        <w:jc w:val="both"/>
      </w:pPr>
      <w:r>
        <w:rPr>
          <w:rFonts w:ascii="Times New Roman" w:hAnsi="Times New Roman"/>
          <w:sz w:val="20"/>
        </w:rPr>
        <w:t>Exact Match is low throughout (0.264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and on this corpus it does not work at any operating point. The reason is not that it is poorly calibrated. It is that the quantity it thresholds does not separate the classes.</w:t>
      </w:r>
    </w:p>
    <w:p>
      <w:pPr>
        <w:spacing w:after="0"/>
        <w:ind w:firstLine="288"/>
        <w:jc w:val="both"/>
      </w:pPr>
      <w:r>
        <w:rPr>
          <w:rFonts w:ascii="Times New Roman" w:hAnsi="Times New Roman"/>
          <w:b/>
          <w:sz w:val="20"/>
        </w:rPr>
        <w:t>Top retrieval score by gold label, all 400 items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Retriever</w:t>
            </w:r>
          </w:p>
        </w:tc>
        <w:tc>
          <w:tcPr>
            <w:tcW w:type="dxa" w:w="2088"/>
          </w:tcPr>
          <w:p>
            <w:pPr>
              <w:spacing w:after="0"/>
            </w:pPr>
            <w:r/>
            <w:r>
              <w:rPr>
                <w:rFonts w:ascii="Times New Roman" w:hAnsi="Times New Roman"/>
                <w:b/>
                <w:sz w:val="16"/>
              </w:rPr>
              <w:t>answerable</w:t>
            </w:r>
          </w:p>
        </w:tc>
        <w:tc>
          <w:tcPr>
            <w:tcW w:type="dxa" w:w="2088"/>
          </w:tcPr>
          <w:p>
            <w:pPr>
              <w:spacing w:after="0"/>
            </w:pPr>
            <w:r/>
            <w:r>
              <w:rPr>
                <w:rFonts w:ascii="Times New Roman" w:hAnsi="Times New Roman"/>
                <w:b/>
                <w:sz w:val="16"/>
              </w:rPr>
              <w:t>unanswerable</w:t>
            </w:r>
          </w:p>
        </w:tc>
        <w:tc>
          <w:tcPr>
            <w:tcW w:type="dxa" w:w="2088"/>
          </w:tcPr>
          <w:p>
            <w:pPr>
              <w:spacing w:after="0"/>
            </w:pPr>
            <w:r/>
            <w:r>
              <w:rPr>
                <w:rFonts w:ascii="Times New Roman" w:hAnsi="Times New Roman"/>
                <w:b/>
                <w:sz w:val="16"/>
              </w:rPr>
              <w:t>best F1</w:t>
            </w:r>
          </w:p>
        </w:tc>
        <w:tc>
          <w:tcPr>
            <w:tcW w:type="dxa" w:w="2088"/>
          </w:tcPr>
          <w:p>
            <w:pPr>
              <w:spacing w:after="0"/>
            </w:pPr>
            <w:r/>
            <w:r>
              <w:rPr>
                <w:rFonts w:ascii="Times New Roman" w:hAnsi="Times New Roman"/>
                <w:b/>
                <w:sz w:val="16"/>
              </w:rPr>
              <w:t>precision at best</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13.55</w:t>
            </w:r>
          </w:p>
        </w:tc>
        <w:tc>
          <w:tcPr>
            <w:tcW w:type="dxa" w:w="2088"/>
          </w:tcPr>
          <w:p>
            <w:pPr>
              <w:spacing w:after="0"/>
            </w:pPr>
            <w:r>
              <w:rPr>
                <w:sz w:val="16"/>
              </w:rPr>
            </w:r>
            <w:r>
              <w:rPr>
                <w:rFonts w:ascii="Times New Roman" w:hAnsi="Times New Roman"/>
                <w:b/>
                <w:sz w:val="16"/>
              </w:rPr>
              <w:t>13.82</w:t>
            </w:r>
          </w:p>
        </w:tc>
        <w:tc>
          <w:tcPr>
            <w:tcW w:type="dxa" w:w="2088"/>
          </w:tcPr>
          <w:p>
            <w:pPr>
              <w:spacing w:after="0"/>
            </w:pPr>
            <w:r>
              <w:rPr>
                <w:sz w:val="16"/>
              </w:rPr>
            </w:r>
            <w:r>
              <w:rPr>
                <w:rFonts w:ascii="Times New Roman" w:hAnsi="Times New Roman"/>
                <w:sz w:val="16"/>
              </w:rPr>
              <w:t>0.366</w:t>
            </w:r>
          </w:p>
        </w:tc>
        <w:tc>
          <w:tcPr>
            <w:tcW w:type="dxa" w:w="2088"/>
          </w:tcPr>
          <w:p>
            <w:pPr>
              <w:spacing w:after="0"/>
            </w:pPr>
            <w:r>
              <w:rPr>
                <w:sz w:val="16"/>
              </w:rPr>
            </w:r>
            <w:r>
              <w:rPr>
                <w:rFonts w:ascii="Times New Roman" w:hAnsi="Times New Roman"/>
                <w:sz w:val="16"/>
              </w:rPr>
              <w:t>0.235</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0.1424</w:t>
            </w:r>
          </w:p>
        </w:tc>
        <w:tc>
          <w:tcPr>
            <w:tcW w:type="dxa" w:w="2088"/>
          </w:tcPr>
          <w:p>
            <w:pPr>
              <w:spacing w:after="0"/>
            </w:pPr>
            <w:r>
              <w:rPr>
                <w:sz w:val="16"/>
              </w:rPr>
            </w:r>
            <w:r>
              <w:rPr>
                <w:rFonts w:ascii="Times New Roman" w:hAnsi="Times New Roman"/>
                <w:b/>
                <w:sz w:val="16"/>
              </w:rPr>
              <w:t>0.1485</w:t>
            </w:r>
          </w:p>
        </w:tc>
        <w:tc>
          <w:tcPr>
            <w:tcW w:type="dxa" w:w="2088"/>
          </w:tcPr>
          <w:p>
            <w:pPr>
              <w:spacing w:after="0"/>
            </w:pPr>
            <w:r>
              <w:rPr>
                <w:sz w:val="16"/>
              </w:rPr>
            </w:r>
            <w:r>
              <w:rPr>
                <w:rFonts w:ascii="Times New Roman" w:hAnsi="Times New Roman"/>
                <w:sz w:val="16"/>
              </w:rPr>
              <w:t>0.370</w:t>
            </w:r>
          </w:p>
        </w:tc>
        <w:tc>
          <w:tcPr>
            <w:tcW w:type="dxa" w:w="2088"/>
          </w:tcPr>
          <w:p>
            <w:pPr>
              <w:spacing w:after="0"/>
            </w:pPr>
            <w:r>
              <w:rPr>
                <w:sz w:val="16"/>
              </w:rPr>
            </w:r>
            <w:r>
              <w:rPr>
                <w:rFonts w:ascii="Times New Roman" w:hAnsi="Times New Roman"/>
                <w:sz w:val="16"/>
              </w:rPr>
              <w:t>0.231</w:t>
            </w:r>
          </w:p>
        </w:tc>
      </w:tr>
      <w:tr>
        <w:tc>
          <w:tcPr>
            <w:tcW w:type="dxa" w:w="2088"/>
          </w:tcPr>
          <w:p>
            <w:pPr>
              <w:spacing w:after="0"/>
            </w:pPr>
            <w:r>
              <w:rPr>
                <w:sz w:val="16"/>
              </w:rPr>
            </w:r>
            <w:r>
              <w:rPr>
                <w:rFonts w:ascii="Times New Roman" w:hAnsi="Times New Roman"/>
                <w:sz w:val="16"/>
              </w:rPr>
              <w:t>Script-aware RRF</w:t>
            </w:r>
          </w:p>
        </w:tc>
        <w:tc>
          <w:tcPr>
            <w:tcW w:type="dxa" w:w="2088"/>
          </w:tcPr>
          <w:p>
            <w:pPr>
              <w:spacing w:after="0"/>
            </w:pPr>
            <w:r>
              <w:rPr>
                <w:sz w:val="16"/>
              </w:rPr>
            </w:r>
            <w:r>
              <w:rPr>
                <w:rFonts w:ascii="Times New Roman" w:hAnsi="Times New Roman"/>
                <w:sz w:val="16"/>
              </w:rPr>
              <w:t>0.0327</w:t>
            </w:r>
          </w:p>
        </w:tc>
        <w:tc>
          <w:tcPr>
            <w:tcW w:type="dxa" w:w="2088"/>
          </w:tcPr>
          <w:p>
            <w:pPr>
              <w:spacing w:after="0"/>
            </w:pPr>
            <w:r>
              <w:rPr>
                <w:sz w:val="16"/>
              </w:rPr>
            </w:r>
            <w:r>
              <w:rPr>
                <w:rFonts w:ascii="Times New Roman" w:hAnsi="Times New Roman"/>
                <w:sz w:val="16"/>
              </w:rPr>
              <w:t>0.0325</w:t>
            </w:r>
          </w:p>
        </w:tc>
        <w:tc>
          <w:tcPr>
            <w:tcW w:type="dxa" w:w="2088"/>
          </w:tcPr>
          <w:p>
            <w:pPr>
              <w:spacing w:after="0"/>
            </w:pPr>
            <w:r>
              <w:rPr>
                <w:sz w:val="16"/>
              </w:rPr>
            </w:r>
            <w:r>
              <w:rPr>
                <w:rFonts w:ascii="Times New Roman" w:hAnsi="Times New Roman"/>
                <w:sz w:val="16"/>
              </w:rPr>
              <w:t>0.351</w:t>
            </w:r>
          </w:p>
        </w:tc>
        <w:tc>
          <w:tcPr>
            <w:tcW w:type="dxa" w:w="2088"/>
          </w:tcPr>
          <w:p>
            <w:pPr>
              <w:spacing w:after="0"/>
            </w:pPr>
            <w:r>
              <w:rPr>
                <w:sz w:val="16"/>
              </w:rPr>
            </w:r>
            <w:r>
              <w:rPr>
                <w:rFonts w:ascii="Times New Roman" w:hAnsi="Times New Roman"/>
                <w:sz w:val="16"/>
              </w:rPr>
              <w:t>0.216</w:t>
            </w:r>
          </w:p>
        </w:tc>
      </w:tr>
    </w:tbl>
    <w:p>
      <w:pPr>
        <w:spacing w:after="40"/>
      </w:pPr>
    </w:p>
    <w:p>
      <w:pPr>
        <w:spacing w:after="0"/>
        <w:ind w:firstLine="288"/>
        <w:jc w:val="both"/>
      </w:pPr>
      <w:r>
        <w:rPr>
          <w:rFonts w:ascii="Times New Roman" w:hAnsi="Times New Roman"/>
          <w:sz w:val="20"/>
        </w:rPr>
        <w:t xml:space="preserve">The medians are indistinguishable, and in two of the three retrievers the </w:t>
      </w:r>
      <w:r>
        <w:rPr>
          <w:rFonts w:ascii="Times New Roman" w:hAnsi="Times New Roman"/>
          <w:i/>
          <w:sz w:val="20"/>
        </w:rPr>
        <w:t>unanswerable</w:t>
      </w:r>
      <w:r>
        <w:rPr>
          <w:rFonts w:ascii="Times New Roman" w:hAnsi="Times New Roman"/>
          <w:sz w:val="20"/>
        </w:rPr>
        <w:t xml:space="preserve"> questions score marginally higher — the opposite of the direction a threshold assumes. Across the full sweep of τ, plotted as Figure 5, precision never leaves the neighbourhood of 0.21–0.24 against an unanswerable base rate of 0.20, which is the signature of a signal carrying no information: abstaining at random achieves precision equal to the prevalence.</w:t>
      </w:r>
    </w:p>
    <w:p>
      <w:pPr>
        <w:spacing w:after="0"/>
        <w:ind w:firstLine="288"/>
        <w:jc w:val="both"/>
      </w:pPr>
      <w:r>
        <w:rPr>
          <w:rFonts w:ascii="Times New Roman" w:hAnsi="Times New Roman"/>
          <w:sz w:val="20"/>
        </w:rPr>
        <w:t>The best F1 of 0.366 is reached at 86% abstention. Those two numbers have to be read together. A recall of 0.93 on the unanswerable class, bought by refusing most of the answerable questions as well, is not detection; it is silence.</w:t>
      </w:r>
    </w:p>
    <w:p>
      <w:pPr>
        <w:spacing w:after="0"/>
        <w:ind w:firstLine="288"/>
        <w:jc w:val="both"/>
      </w:pPr>
      <w:r>
        <w:rPr>
          <w:rFonts w:ascii="Times New Roman" w:hAnsi="Times New Roman"/>
          <w:sz w:val="20"/>
        </w:rPr>
        <w:t>The top score is the quantity a threshold uses, but it is not the only retrieval-side feature available, and the calibrated combination of §IV-F is fit over all of them. None of them separates either.</w:t>
      </w:r>
    </w:p>
    <w:p>
      <w:pPr>
        <w:spacing w:after="0"/>
        <w:ind w:firstLine="288"/>
        <w:jc w:val="both"/>
      </w:pPr>
      <w:r>
        <w:rPr>
          <w:rFonts w:ascii="Times New Roman" w:hAnsi="Times New Roman"/>
          <w:b/>
          <w:sz w:val="20"/>
        </w:rPr>
        <w:t>Feature separation under BM25, all 400 items.</w:t>
      </w:r>
      <w:r>
        <w:rPr>
          <w:rFonts w:ascii="Times New Roman" w:hAnsi="Times New Roman"/>
          <w:sz w:val="20"/>
        </w:rPr>
        <w:t xml:space="preserve"> AUC is P(a random answerable question scores above a random unanswerable one); 0.500 is chance.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Feature</w:t>
            </w:r>
          </w:p>
        </w:tc>
        <w:tc>
          <w:tcPr>
            <w:tcW w:type="dxa" w:w="2610"/>
          </w:tcPr>
          <w:p>
            <w:pPr>
              <w:spacing w:after="0"/>
            </w:pPr>
            <w:r/>
            <w:r>
              <w:rPr>
                <w:rFonts w:ascii="Times New Roman" w:hAnsi="Times New Roman"/>
                <w:b/>
                <w:sz w:val="16"/>
              </w:rPr>
              <w:t>answerable</w:t>
            </w:r>
          </w:p>
        </w:tc>
        <w:tc>
          <w:tcPr>
            <w:tcW w:type="dxa" w:w="2610"/>
          </w:tcPr>
          <w:p>
            <w:pPr>
              <w:spacing w:after="0"/>
            </w:pPr>
            <w:r/>
            <w:r>
              <w:rPr>
                <w:rFonts w:ascii="Times New Roman" w:hAnsi="Times New Roman"/>
                <w:b/>
                <w:sz w:val="16"/>
              </w:rPr>
              <w:t>unanswerable</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top1 − top2 margin</w:t>
            </w:r>
          </w:p>
        </w:tc>
        <w:tc>
          <w:tcPr>
            <w:tcW w:type="dxa" w:w="2610"/>
          </w:tcPr>
          <w:p>
            <w:pPr>
              <w:spacing w:after="0"/>
            </w:pPr>
            <w:r>
              <w:rPr>
                <w:sz w:val="16"/>
              </w:rPr>
            </w:r>
            <w:r>
              <w:rPr>
                <w:rFonts w:ascii="Times New Roman" w:hAnsi="Times New Roman"/>
                <w:sz w:val="16"/>
              </w:rPr>
              <w:t>2.1769</w:t>
            </w:r>
          </w:p>
        </w:tc>
        <w:tc>
          <w:tcPr>
            <w:tcW w:type="dxa" w:w="2610"/>
          </w:tcPr>
          <w:p>
            <w:pPr>
              <w:spacing w:after="0"/>
            </w:pPr>
            <w:r>
              <w:rPr>
                <w:sz w:val="16"/>
              </w:rPr>
            </w:r>
            <w:r>
              <w:rPr>
                <w:rFonts w:ascii="Times New Roman" w:hAnsi="Times New Roman"/>
                <w:sz w:val="16"/>
              </w:rPr>
              <w:t>1.2750</w:t>
            </w:r>
          </w:p>
        </w:tc>
        <w:tc>
          <w:tcPr>
            <w:tcW w:type="dxa" w:w="2610"/>
          </w:tcPr>
          <w:p>
            <w:pPr>
              <w:spacing w:after="0"/>
            </w:pPr>
            <w:r>
              <w:rPr>
                <w:sz w:val="16"/>
              </w:rPr>
            </w:r>
            <w:r>
              <w:rPr>
                <w:rFonts w:ascii="Times New Roman" w:hAnsi="Times New Roman"/>
                <w:sz w:val="16"/>
              </w:rPr>
              <w:t>0.594</w:t>
            </w:r>
          </w:p>
        </w:tc>
      </w:tr>
      <w:tr>
        <w:tc>
          <w:tcPr>
            <w:tcW w:type="dxa" w:w="2610"/>
          </w:tcPr>
          <w:p>
            <w:pPr>
              <w:spacing w:after="0"/>
            </w:pPr>
            <w:r>
              <w:rPr>
                <w:sz w:val="16"/>
              </w:rPr>
            </w:r>
            <w:r>
              <w:rPr>
                <w:rFonts w:ascii="Times New Roman" w:hAnsi="Times New Roman"/>
                <w:sz w:val="16"/>
              </w:rPr>
              <w:t>score spread (top1 − topK)</w:t>
            </w:r>
          </w:p>
        </w:tc>
        <w:tc>
          <w:tcPr>
            <w:tcW w:type="dxa" w:w="2610"/>
          </w:tcPr>
          <w:p>
            <w:pPr>
              <w:spacing w:after="0"/>
            </w:pPr>
            <w:r>
              <w:rPr>
                <w:sz w:val="16"/>
              </w:rPr>
            </w:r>
            <w:r>
              <w:rPr>
                <w:rFonts w:ascii="Times New Roman" w:hAnsi="Times New Roman"/>
                <w:sz w:val="16"/>
              </w:rPr>
              <w:t>5.2127</w:t>
            </w:r>
          </w:p>
        </w:tc>
        <w:tc>
          <w:tcPr>
            <w:tcW w:type="dxa" w:w="2610"/>
          </w:tcPr>
          <w:p>
            <w:pPr>
              <w:spacing w:after="0"/>
            </w:pPr>
            <w:r>
              <w:rPr>
                <w:sz w:val="16"/>
              </w:rPr>
            </w:r>
            <w:r>
              <w:rPr>
                <w:rFonts w:ascii="Times New Roman" w:hAnsi="Times New Roman"/>
                <w:sz w:val="16"/>
              </w:rPr>
              <w:t>3.7732</w:t>
            </w:r>
          </w:p>
        </w:tc>
        <w:tc>
          <w:tcPr>
            <w:tcW w:type="dxa" w:w="2610"/>
          </w:tcPr>
          <w:p>
            <w:pPr>
              <w:spacing w:after="0"/>
            </w:pPr>
            <w:r>
              <w:rPr>
                <w:sz w:val="16"/>
              </w:rPr>
            </w:r>
            <w:r>
              <w:rPr>
                <w:rFonts w:ascii="Times New Roman" w:hAnsi="Times New Roman"/>
                <w:sz w:val="16"/>
              </w:rPr>
              <w:t>0.599</w:t>
            </w:r>
          </w:p>
        </w:tc>
      </w:tr>
      <w:tr>
        <w:tc>
          <w:tcPr>
            <w:tcW w:type="dxa" w:w="2610"/>
          </w:tcPr>
          <w:p>
            <w:pPr>
              <w:spacing w:after="0"/>
            </w:pPr>
            <w:r>
              <w:rPr>
                <w:sz w:val="16"/>
              </w:rPr>
            </w:r>
            <w:r>
              <w:rPr>
                <w:rFonts w:ascii="Times New Roman" w:hAnsi="Times New Roman"/>
                <w:sz w:val="16"/>
              </w:rPr>
              <w:t>max score</w:t>
            </w:r>
          </w:p>
        </w:tc>
        <w:tc>
          <w:tcPr>
            <w:tcW w:type="dxa" w:w="2610"/>
          </w:tcPr>
          <w:p>
            <w:pPr>
              <w:spacing w:after="0"/>
            </w:pPr>
            <w:r>
              <w:rPr>
                <w:sz w:val="16"/>
              </w:rPr>
            </w:r>
            <w:r>
              <w:rPr>
                <w:rFonts w:ascii="Times New Roman" w:hAnsi="Times New Roman"/>
                <w:sz w:val="16"/>
              </w:rPr>
              <w:t>13.5509</w:t>
            </w:r>
          </w:p>
        </w:tc>
        <w:tc>
          <w:tcPr>
            <w:tcW w:type="dxa" w:w="2610"/>
          </w:tcPr>
          <w:p>
            <w:pPr>
              <w:spacing w:after="0"/>
            </w:pPr>
            <w:r>
              <w:rPr>
                <w:sz w:val="16"/>
              </w:rPr>
            </w:r>
            <w:r>
              <w:rPr>
                <w:rFonts w:ascii="Times New Roman" w:hAnsi="Times New Roman"/>
                <w:sz w:val="16"/>
              </w:rPr>
              <w:t>13.8179</w:t>
            </w:r>
          </w:p>
        </w:tc>
        <w:tc>
          <w:tcPr>
            <w:tcW w:type="dxa" w:w="2610"/>
          </w:tcPr>
          <w:p>
            <w:pPr>
              <w:spacing w:after="0"/>
            </w:pPr>
            <w:r>
              <w:rPr>
                <w:sz w:val="16"/>
              </w:rPr>
            </w:r>
            <w:r>
              <w:rPr>
                <w:rFonts w:ascii="Times New Roman" w:hAnsi="Times New Roman"/>
                <w:sz w:val="16"/>
              </w:rPr>
              <w:t>0.545</w:t>
            </w:r>
          </w:p>
        </w:tc>
      </w:tr>
      <w:tr>
        <w:tc>
          <w:tcPr>
            <w:tcW w:type="dxa" w:w="2610"/>
          </w:tcPr>
          <w:p>
            <w:pPr>
              <w:spacing w:after="0"/>
            </w:pPr>
            <w:r>
              <w:rPr>
                <w:sz w:val="16"/>
              </w:rPr>
            </w:r>
            <w:r>
              <w:rPr>
                <w:rFonts w:ascii="Times New Roman" w:hAnsi="Times New Roman"/>
                <w:sz w:val="16"/>
              </w:rPr>
              <w:t>mean top-k</w:t>
            </w:r>
          </w:p>
        </w:tc>
        <w:tc>
          <w:tcPr>
            <w:tcW w:type="dxa" w:w="2610"/>
          </w:tcPr>
          <w:p>
            <w:pPr>
              <w:spacing w:after="0"/>
            </w:pPr>
            <w:r>
              <w:rPr>
                <w:sz w:val="16"/>
              </w:rPr>
            </w:r>
            <w:r>
              <w:rPr>
                <w:rFonts w:ascii="Times New Roman" w:hAnsi="Times New Roman"/>
                <w:sz w:val="16"/>
              </w:rPr>
              <w:t>10.2447</w:t>
            </w:r>
          </w:p>
        </w:tc>
        <w:tc>
          <w:tcPr>
            <w:tcW w:type="dxa" w:w="2610"/>
          </w:tcPr>
          <w:p>
            <w:pPr>
              <w:spacing w:after="0"/>
            </w:pPr>
            <w:r>
              <w:rPr>
                <w:sz w:val="16"/>
              </w:rPr>
            </w:r>
            <w:r>
              <w:rPr>
                <w:rFonts w:ascii="Times New Roman" w:hAnsi="Times New Roman"/>
                <w:sz w:val="16"/>
              </w:rPr>
              <w:t>10.3221</w:t>
            </w:r>
          </w:p>
        </w:tc>
        <w:tc>
          <w:tcPr>
            <w:tcW w:type="dxa" w:w="2610"/>
          </w:tcPr>
          <w:p>
            <w:pPr>
              <w:spacing w:after="0"/>
            </w:pPr>
            <w:r>
              <w:rPr>
                <w:sz w:val="16"/>
              </w:rPr>
            </w:r>
            <w:r>
              <w:rPr>
                <w:rFonts w:ascii="Times New Roman" w:hAnsi="Times New Roman"/>
                <w:sz w:val="16"/>
              </w:rPr>
              <w:t>0.510</w:t>
            </w:r>
          </w:p>
        </w:tc>
      </w:tr>
      <w:tr>
        <w:tc>
          <w:tcPr>
            <w:tcW w:type="dxa" w:w="2610"/>
          </w:tcPr>
          <w:p>
            <w:pPr>
              <w:spacing w:after="0"/>
            </w:pPr>
            <w:r>
              <w:rPr>
                <w:sz w:val="16"/>
              </w:rPr>
            </w:r>
            <w:r>
              <w:rPr>
                <w:rFonts w:ascii="Times New Roman" w:hAnsi="Times New Roman"/>
                <w:sz w:val="16"/>
              </w:rPr>
              <w:t>scheme agreement</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0.504</w:t>
            </w:r>
          </w:p>
        </w:tc>
      </w:tr>
    </w:tbl>
    <w:p>
      <w:pPr>
        <w:spacing w:after="40"/>
      </w:pPr>
    </w:p>
    <w:p>
      <w:pPr>
        <w:spacing w:after="0"/>
        <w:ind w:firstLine="288"/>
        <w:jc w:val="both"/>
      </w:pPr>
      <w:r>
        <w:rPr>
          <w:rFonts w:ascii="Times New Roman" w:hAnsi="Times New Roman"/>
          <w:sz w:val="20"/>
        </w:rPr>
        <w:t>The margin deserves comment because it was the feature we expected to work. The reasoning was that a near-miss question retrieves several similarly-scoring passages — the topic is present, the specific fact is not — and so shows a smaller top1-to-top2 gap than a question with one clear answer. The prediction holds in direction: 1.28 against 2.18. It fails in magnitude. An AUC of 0.594 orders a random pair correctly 59% of the time against a chance rate of 50%, which is not a basis for abstention.</w:t>
      </w:r>
    </w:p>
    <w:p>
      <w:pPr>
        <w:spacing w:after="0"/>
        <w:ind w:firstLine="288"/>
        <w:jc w:val="both"/>
      </w:pPr>
      <w:r>
        <w:rPr>
          <w:rFonts w:ascii="Times New Roman" w:hAnsi="Times New Roman"/>
          <w:sz w:val="20"/>
        </w:rPr>
        <w:t>We fit the calibrated combination of §IV-F over these features to see how much of that is recoverable, on the same split, and report it beside the threshold.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Signal</w:t>
            </w:r>
          </w:p>
        </w:tc>
        <w:tc>
          <w:tcPr>
            <w:tcW w:type="dxa" w:w="2610"/>
          </w:tcPr>
          <w:p>
            <w:pPr>
              <w:spacing w:after="0"/>
            </w:pPr>
            <w:r/>
            <w:r>
              <w:rPr>
                <w:rFonts w:ascii="Times New Roman" w:hAnsi="Times New Roman"/>
                <w:b/>
                <w:sz w:val="16"/>
              </w:rPr>
              <w:t>test F1</w:t>
            </w:r>
          </w:p>
        </w:tc>
        <w:tc>
          <w:tcPr>
            <w:tcW w:type="dxa" w:w="2610"/>
          </w:tcPr>
          <w:p>
            <w:pPr>
              <w:spacing w:after="0"/>
            </w:pPr>
            <w:r/>
            <w:r>
              <w:rPr>
                <w:rFonts w:ascii="Times New Roman" w:hAnsi="Times New Roman"/>
                <w:b/>
                <w:sz w:val="16"/>
              </w:rPr>
              <w:t>abstains on</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1. retrieval threshold</w:t>
            </w:r>
          </w:p>
        </w:tc>
        <w:tc>
          <w:tcPr>
            <w:tcW w:type="dxa" w:w="2610"/>
          </w:tcPr>
          <w:p>
            <w:pPr>
              <w:spacing w:after="0"/>
            </w:pPr>
            <w:r>
              <w:rPr>
                <w:sz w:val="16"/>
              </w:rPr>
            </w:r>
            <w:r>
              <w:rPr>
                <w:rFonts w:ascii="Times New Roman" w:hAnsi="Times New Roman"/>
                <w:sz w:val="16"/>
              </w:rPr>
              <w:t>0.345</w:t>
            </w:r>
          </w:p>
        </w:tc>
        <w:tc>
          <w:tcPr>
            <w:tcW w:type="dxa" w:w="2610"/>
          </w:tcPr>
          <w:p>
            <w:pPr>
              <w:spacing w:after="0"/>
            </w:pPr>
            <w:r>
              <w:rPr>
                <w:sz w:val="16"/>
              </w:rPr>
            </w:r>
            <w:r>
              <w:rPr>
                <w:rFonts w:ascii="Times New Roman" w:hAnsi="Times New Roman"/>
                <w:sz w:val="16"/>
              </w:rPr>
              <w:t>87.0%</w:t>
            </w:r>
          </w:p>
        </w:tc>
        <w:tc>
          <w:tcPr>
            <w:tcW w:type="dxa" w:w="2610"/>
          </w:tcPr>
          <w:p>
            <w:pPr>
              <w:spacing w:after="0"/>
            </w:pPr>
            <w:r>
              <w:rPr>
                <w:sz w:val="16"/>
              </w:rPr>
            </w:r>
            <w:r>
              <w:rPr>
                <w:rFonts w:ascii="Times New Roman" w:hAnsi="Times New Roman"/>
                <w:sz w:val="16"/>
              </w:rPr>
              <w:t>—</w:t>
            </w:r>
          </w:p>
        </w:tc>
      </w:tr>
      <w:tr>
        <w:tc>
          <w:tcPr>
            <w:tcW w:type="dxa" w:w="2610"/>
          </w:tcPr>
          <w:p>
            <w:pPr>
              <w:spacing w:after="0"/>
            </w:pPr>
            <w:r>
              <w:rPr>
                <w:sz w:val="16"/>
              </w:rPr>
            </w:r>
            <w:r>
              <w:rPr>
                <w:rFonts w:ascii="Times New Roman" w:hAnsi="Times New Roman"/>
                <w:sz w:val="16"/>
              </w:rPr>
              <w:t>4. calibrated combination</w:t>
            </w:r>
          </w:p>
        </w:tc>
        <w:tc>
          <w:tcPr>
            <w:tcW w:type="dxa" w:w="2610"/>
          </w:tcPr>
          <w:p>
            <w:pPr>
              <w:spacing w:after="0"/>
            </w:pPr>
            <w:r>
              <w:rPr>
                <w:sz w:val="16"/>
              </w:rPr>
            </w:r>
            <w:r>
              <w:rPr>
                <w:rFonts w:ascii="Times New Roman" w:hAnsi="Times New Roman"/>
                <w:b/>
                <w:sz w:val="16"/>
              </w:rPr>
              <w:t>0.360</w:t>
            </w:r>
          </w:p>
        </w:tc>
        <w:tc>
          <w:tcPr>
            <w:tcW w:type="dxa" w:w="2610"/>
          </w:tcPr>
          <w:p>
            <w:pPr>
              <w:spacing w:after="0"/>
            </w:pPr>
            <w:r>
              <w:rPr>
                <w:sz w:val="16"/>
              </w:rPr>
            </w:r>
            <w:r>
              <w:rPr>
                <w:rFonts w:ascii="Times New Roman" w:hAnsi="Times New Roman"/>
                <w:b/>
                <w:sz w:val="16"/>
              </w:rPr>
              <w:t>37.5%</w:t>
            </w:r>
          </w:p>
        </w:tc>
        <w:tc>
          <w:tcPr>
            <w:tcW w:type="dxa" w:w="2610"/>
          </w:tcPr>
          <w:p>
            <w:pPr>
              <w:spacing w:after="0"/>
            </w:pPr>
            <w:r>
              <w:rPr>
                <w:sz w:val="16"/>
              </w:rPr>
            </w:r>
            <w:r>
              <w:rPr>
                <w:rFonts w:ascii="Times New Roman" w:hAnsi="Times New Roman"/>
                <w:sz w:val="16"/>
              </w:rPr>
              <w:t>0.663</w:t>
            </w:r>
          </w:p>
        </w:tc>
      </w:tr>
    </w:tbl>
    <w:p>
      <w:pPr>
        <w:spacing w:after="40"/>
      </w:pPr>
    </w:p>
    <w:p>
      <w:pPr>
        <w:spacing w:after="0"/>
        <w:ind w:firstLine="288"/>
        <w:jc w:val="both"/>
      </w:pPr>
      <w:r>
        <w:rPr>
          <w:rFonts w:ascii="Times New Roman" w:hAnsi="Times New Roman"/>
          <w:sz w:val="20"/>
        </w:rPr>
        <w:t xml:space="preserve">Combining does extract more than any feature alone: AUC 0.663 against a best single feature of 0.599. F1 barely moves, which is what a near-chance feature set predicts, but the </w:t>
      </w:r>
      <w:r>
        <w:rPr>
          <w:rFonts w:ascii="Times New Roman" w:hAnsi="Times New Roman"/>
          <w:i/>
          <w:sz w:val="20"/>
        </w:rPr>
        <w:t>operating point</w:t>
      </w:r>
      <w:r>
        <w:rPr>
          <w:rFonts w:ascii="Times New Roman" w:hAnsi="Times New Roman"/>
          <w:sz w:val="20"/>
        </w:rPr>
        <w:t xml:space="preserve"> improves substantially — a comparable F1 while refusing 37% of questions rather than 87%. The distinction matters for deployment, where the cost of silence is borne by users who asked answerable questions.</w:t>
      </w:r>
    </w:p>
    <w:p>
      <w:pPr>
        <w:spacing w:after="0"/>
        <w:ind w:firstLine="288"/>
        <w:jc w:val="both"/>
      </w:pPr>
      <w:r>
        <w:rPr>
          <w:rFonts w:ascii="Times New Roman" w:hAnsi="Times New Roman"/>
          <w:sz w:val="20"/>
        </w:rPr>
        <w:t>The fitted coefficients are the sharper result:</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Feature</w:t>
            </w:r>
          </w:p>
        </w:tc>
        <w:tc>
          <w:tcPr>
            <w:tcW w:type="dxa" w:w="5220"/>
          </w:tcPr>
          <w:p>
            <w:pPr>
              <w:spacing w:after="0"/>
            </w:pPr>
            <w:r/>
            <w:r>
              <w:rPr>
                <w:rFonts w:ascii="Times New Roman" w:hAnsi="Times New Roman"/>
                <w:b/>
                <w:sz w:val="16"/>
              </w:rPr>
              <w:t>weight</w:t>
            </w:r>
          </w:p>
        </w:tc>
      </w:tr>
      <w:tr>
        <w:tc>
          <w:tcPr>
            <w:tcW w:type="dxa" w:w="5220"/>
          </w:tcPr>
          <w:p>
            <w:pPr>
              <w:spacing w:after="0"/>
            </w:pPr>
            <w:r>
              <w:rPr>
                <w:sz w:val="16"/>
              </w:rPr>
            </w:r>
            <w:r>
              <w:rPr>
                <w:rFonts w:ascii="Times New Roman" w:hAnsi="Times New Roman"/>
                <w:sz w:val="16"/>
              </w:rPr>
              <w:t>score spread</w:t>
            </w:r>
          </w:p>
        </w:tc>
        <w:tc>
          <w:tcPr>
            <w:tcW w:type="dxa" w:w="5220"/>
          </w:tcPr>
          <w:p>
            <w:pPr>
              <w:spacing w:after="0"/>
            </w:pPr>
            <w:r>
              <w:rPr>
                <w:sz w:val="16"/>
              </w:rPr>
            </w:r>
            <w:r>
              <w:rPr>
                <w:rFonts w:ascii="Times New Roman" w:hAnsi="Times New Roman"/>
                <w:sz w:val="16"/>
              </w:rPr>
              <w:t>0.739</w:t>
            </w:r>
          </w:p>
        </w:tc>
      </w:tr>
      <w:tr>
        <w:tc>
          <w:tcPr>
            <w:tcW w:type="dxa" w:w="5220"/>
          </w:tcPr>
          <w:p>
            <w:pPr>
              <w:spacing w:after="0"/>
            </w:pPr>
            <w:r>
              <w:rPr>
                <w:sz w:val="16"/>
              </w:rPr>
            </w:r>
            <w:r>
              <w:rPr>
                <w:rFonts w:ascii="Times New Roman" w:hAnsi="Times New Roman"/>
                <w:sz w:val="16"/>
              </w:rPr>
              <w:t>mean top-k</w:t>
            </w:r>
          </w:p>
        </w:tc>
        <w:tc>
          <w:tcPr>
            <w:tcW w:type="dxa" w:w="5220"/>
          </w:tcPr>
          <w:p>
            <w:pPr>
              <w:spacing w:after="0"/>
            </w:pPr>
            <w:r>
              <w:rPr>
                <w:sz w:val="16"/>
              </w:rPr>
            </w:r>
            <w:r>
              <w:rPr>
                <w:rFonts w:ascii="Times New Roman" w:hAnsi="Times New Roman"/>
                <w:sz w:val="16"/>
              </w:rPr>
              <w:t>−0.350</w:t>
            </w:r>
          </w:p>
        </w:tc>
      </w:tr>
      <w:tr>
        <w:tc>
          <w:tcPr>
            <w:tcW w:type="dxa" w:w="5220"/>
          </w:tcPr>
          <w:p>
            <w:pPr>
              <w:spacing w:after="0"/>
            </w:pPr>
            <w:r>
              <w:rPr>
                <w:sz w:val="16"/>
              </w:rPr>
            </w:r>
            <w:r>
              <w:rPr>
                <w:rFonts w:ascii="Times New Roman" w:hAnsi="Times New Roman"/>
                <w:sz w:val="16"/>
              </w:rPr>
              <w:t>margin</w:t>
            </w:r>
          </w:p>
        </w:tc>
        <w:tc>
          <w:tcPr>
            <w:tcW w:type="dxa" w:w="5220"/>
          </w:tcPr>
          <w:p>
            <w:pPr>
              <w:spacing w:after="0"/>
            </w:pPr>
            <w:r>
              <w:rPr>
                <w:sz w:val="16"/>
              </w:rPr>
            </w:r>
            <w:r>
              <w:rPr>
                <w:rFonts w:ascii="Times New Roman" w:hAnsi="Times New Roman"/>
                <w:sz w:val="16"/>
              </w:rPr>
              <w:t>0.138</w:t>
            </w:r>
          </w:p>
        </w:tc>
      </w:tr>
      <w:tr>
        <w:tc>
          <w:tcPr>
            <w:tcW w:type="dxa" w:w="5220"/>
          </w:tcPr>
          <w:p>
            <w:pPr>
              <w:spacing w:after="0"/>
            </w:pPr>
            <w:r>
              <w:rPr>
                <w:sz w:val="16"/>
              </w:rPr>
            </w:r>
            <w:r>
              <w:rPr>
                <w:rFonts w:ascii="Times New Roman" w:hAnsi="Times New Roman"/>
                <w:sz w:val="16"/>
              </w:rPr>
              <w:t>scheme agreement</w:t>
            </w:r>
          </w:p>
        </w:tc>
        <w:tc>
          <w:tcPr>
            <w:tcW w:type="dxa" w:w="5220"/>
          </w:tcPr>
          <w:p>
            <w:pPr>
              <w:spacing w:after="0"/>
            </w:pPr>
            <w:r>
              <w:rPr>
                <w:sz w:val="16"/>
              </w:rPr>
            </w:r>
            <w:r>
              <w:rPr>
                <w:rFonts w:ascii="Times New Roman" w:hAnsi="Times New Roman"/>
                <w:sz w:val="16"/>
              </w:rPr>
              <w:t>0.104</w:t>
            </w:r>
          </w:p>
        </w:tc>
      </w:tr>
      <w:tr>
        <w:tc>
          <w:tcPr>
            <w:tcW w:type="dxa" w:w="5220"/>
          </w:tcPr>
          <w:p>
            <w:pPr>
              <w:spacing w:after="0"/>
            </w:pPr>
            <w:r>
              <w:rPr>
                <w:sz w:val="16"/>
              </w:rPr>
            </w:r>
            <w:r>
              <w:rPr>
                <w:rFonts w:ascii="Times New Roman" w:hAnsi="Times New Roman"/>
                <w:b/>
                <w:sz w:val="16"/>
              </w:rPr>
              <w:t>max score</w:t>
            </w:r>
          </w:p>
        </w:tc>
        <w:tc>
          <w:tcPr>
            <w:tcW w:type="dxa" w:w="5220"/>
          </w:tcPr>
          <w:p>
            <w:pPr>
              <w:spacing w:after="0"/>
            </w:pPr>
            <w:r>
              <w:rPr>
                <w:sz w:val="16"/>
              </w:rPr>
            </w:r>
            <w:r>
              <w:rPr>
                <w:rFonts w:ascii="Times New Roman" w:hAnsi="Times New Roman"/>
                <w:b/>
                <w:sz w:val="16"/>
              </w:rPr>
              <w:t>0.011</w:t>
            </w:r>
          </w:p>
        </w:tc>
      </w:tr>
    </w:tbl>
    <w:p>
      <w:pPr>
        <w:spacing w:after="40"/>
      </w:pPr>
    </w:p>
    <w:p>
      <w:pPr>
        <w:spacing w:after="0"/>
        <w:ind w:firstLine="288"/>
        <w:jc w:val="both"/>
      </w:pPr>
      <w:r>
        <w:rPr>
          <w:rFonts w:ascii="Consolas" w:hAnsi="Consolas"/>
          <w:sz w:val="17"/>
        </w:rPr>
        <w:t>max_score</w:t>
      </w:r>
      <w:r>
        <w:rPr>
          <w:rFonts w:ascii="Times New Roman" w:hAnsi="Times New Roman"/>
          <w:sz w:val="20"/>
        </w:rPr>
        <w:t xml:space="preserve"> receives the smallest weight of the five, and it is the only quantity the standard threshold looks at. The conventional abstention signal thresholds the least informative feature available to it. What little information exists lies in the </w:t>
      </w:r>
      <w:r>
        <w:rPr>
          <w:rFonts w:ascii="Times New Roman" w:hAnsi="Times New Roman"/>
          <w:i/>
          <w:sz w:val="20"/>
        </w:rPr>
        <w:t>geometry</w:t>
      </w:r>
      <w:r>
        <w:rPr>
          <w:rFonts w:ascii="Times New Roman" w:hAnsi="Times New Roman"/>
          <w:sz w:val="20"/>
        </w:rPr>
        <w:t xml:space="preserve"> of the score distribution — how far the top result stands above the rest of the retrieved set — rather than in its magnitude.</w:t>
      </w:r>
    </w:p>
    <w:p>
      <w:pPr>
        <w:spacing w:after="0"/>
        <w:ind w:firstLine="288"/>
        <w:jc w:val="both"/>
      </w:pPr>
      <w:r>
        <w:rPr>
          <w:rFonts w:ascii="Times New Roman" w:hAnsi="Times New Roman"/>
          <w:b/>
          <w:sz w:val="20"/>
        </w:rPr>
        <w:t>This follows from the dataset rather than from the retriever.</w:t>
      </w:r>
      <w:r>
        <w:rPr>
          <w:rFonts w:ascii="Times New Roman" w:hAnsi="Times New Roman"/>
          <w:sz w:val="20"/>
        </w:rPr>
        <w:t xml:space="preserve"> Of the 80 unanswerable items, 55 — the near-miss, false-premise and under-specified classes — are deliberately written about schemes that </w:t>
      </w:r>
      <w:r>
        <w:rPr>
          <w:rFonts w:ascii="Times New Roman" w:hAnsi="Times New Roman"/>
          <w:i/>
          <w:sz w:val="20"/>
        </w:rPr>
        <w:t>are</w:t>
      </w:r>
      <w:r>
        <w:rPr>
          <w:rFonts w:ascii="Times New Roman" w:hAnsi="Times New Roman"/>
          <w:sz w:val="20"/>
        </w:rPr>
        <w:t xml:space="preserve"> in the corpus. A false-premise question names a real scheme and asserts something untrue of it; a near-miss question matches a scheme's subject matter without matching any particular statement. Such questions retrieve exactly as well as answerable ones, because the passages they retrieve are genuinely about the topic. Only the 25 out-of-scope items concern absent subjects, and those are the only ones a retrieval score can see.</w:t>
      </w:r>
    </w:p>
    <w:p>
      <w:pPr>
        <w:spacing w:after="0"/>
        <w:ind w:firstLine="288"/>
        <w:jc w:val="both"/>
      </w:pPr>
      <w:r>
        <w:rPr>
          <w:rFonts w:ascii="Times New Roman" w:hAnsi="Times New Roman"/>
          <w:sz w:val="20"/>
        </w:rPr>
        <w:t>A corpus-absence detector is therefore what a retrieval threshold is, and answerability is not corpus absence. The distinction matters for deployment: a system fielding questions about schemes it documents will meet the hard classes far more often than the easy one.</w:t>
      </w:r>
    </w:p>
    <w:p>
      <w:pPr>
        <w:spacing w:after="0"/>
        <w:ind w:firstLine="288"/>
        <w:jc w:val="both"/>
      </w:pPr>
      <w:r>
        <w:rPr>
          <w:rFonts w:ascii="Times New Roman" w:hAnsi="Times New Roman"/>
          <w:sz w:val="20"/>
        </w:rPr>
        <w:t xml:space="preserve">We draw two conclusions. The first is negative and firm: </w:t>
      </w:r>
      <w:r>
        <w:rPr>
          <w:rFonts w:ascii="Times New Roman" w:hAnsi="Times New Roman"/>
          <w:b/>
          <w:sz w:val="20"/>
        </w:rPr>
        <w:t>retrieval-score thresholds should not be used as answerability signals on corpora where unanswerable questions concern present topics</w:t>
      </w:r>
      <w:r>
        <w:rPr>
          <w:rFonts w:ascii="Times New Roman" w:hAnsi="Times New Roman"/>
          <w:sz w:val="20"/>
        </w:rPr>
        <w:t xml:space="preserve">, and reporting a single fitted operating point conceals this, because the fitted point moves from 0.000 recall to 0.93 depending only on the split while the underlying curve stays flat. The second is the motivation for §IV-F: deciding whether a </w:t>
      </w:r>
      <w:r>
        <w:rPr>
          <w:rFonts w:ascii="Times New Roman" w:hAnsi="Times New Roman"/>
          <w:i/>
          <w:sz w:val="20"/>
        </w:rPr>
        <w:t>specific claim</w:t>
      </w:r>
      <w:r>
        <w:rPr>
          <w:rFonts w:ascii="Times New Roman" w:hAnsi="Times New Roman"/>
          <w:sz w:val="20"/>
        </w:rPr>
        <w:t xml:space="preserve"> is supported requires reading the passage, which is what the generator and the entailment check do and what a retrieval score cannot.</w:t>
      </w:r>
    </w:p>
    <w:p>
      <w:pPr>
        <w:spacing w:before="200" w:after="80"/>
        <w:jc w:val="left"/>
      </w:pPr>
      <w:r>
        <w:rPr>
          <w:rFonts w:ascii="Times New Roman" w:hAnsi="Times New Roman"/>
          <w:i/>
          <w:sz w:val="20"/>
        </w:rPr>
        <w:t>H.1 All four signals, on the same items</w:t>
      </w:r>
    </w:p>
    <w:p>
      <w:pPr>
        <w:spacing w:after="0"/>
        <w:ind w:firstLine="288"/>
        <w:jc w:val="both"/>
      </w:pPr>
      <w:r>
        <w:rPr>
          <w:rFonts w:ascii="Times New Roman" w:hAnsi="Times New Roman"/>
          <w:sz w:val="20"/>
        </w:rPr>
        <w:t>We evaluate all four on a 120-item sample enriched to hold every unanswerable item plus 40 answerable ones, fitting on a seeded 36 and reporting on the remaining 84. Enrichment is what makes the per-class table legible — a proportional sample of affordable size leaves two or three false-premise items in the reported half — and it moves the unanswerable base rate to 0.667, so the precision figures below are not comparable to the 0.20-base-rate runs above.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reads</w:t>
            </w:r>
          </w:p>
        </w:tc>
        <w:tc>
          <w:tcPr>
            <w:tcW w:type="dxa" w:w="1740"/>
          </w:tcPr>
          <w:p>
            <w:pPr>
              <w:spacing w:after="0"/>
            </w:pPr>
            <w:r/>
            <w:r>
              <w:rPr>
                <w:rFonts w:ascii="Times New Roman" w:hAnsi="Times New Roman"/>
                <w:b/>
                <w:sz w:val="16"/>
              </w:rPr>
              <w:t>accuracy</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F1</w:t>
            </w:r>
          </w:p>
        </w:tc>
      </w:tr>
      <w:tr>
        <w:tc>
          <w:tcPr>
            <w:tcW w:type="dxa" w:w="1740"/>
          </w:tcPr>
          <w:p>
            <w:pPr>
              <w:spacing w:after="0"/>
            </w:pPr>
            <w:r>
              <w:rPr>
                <w:sz w:val="16"/>
              </w:rPr>
            </w:r>
            <w:r>
              <w:rPr>
                <w:rFonts w:ascii="Times New Roman" w:hAnsi="Times New Roman"/>
                <w:sz w:val="16"/>
              </w:rPr>
              <w:t>1. retrieval threshold</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0.702</w:t>
            </w:r>
          </w:p>
        </w:tc>
        <w:tc>
          <w:tcPr>
            <w:tcW w:type="dxa" w:w="1740"/>
          </w:tcPr>
          <w:p>
            <w:pPr>
              <w:spacing w:after="0"/>
            </w:pPr>
            <w:r>
              <w:rPr>
                <w:sz w:val="16"/>
              </w:rPr>
            </w:r>
            <w:r>
              <w:rPr>
                <w:rFonts w:ascii="Times New Roman" w:hAnsi="Times New Roman"/>
                <w:sz w:val="16"/>
              </w:rPr>
              <w:t>0.707</w:t>
            </w:r>
          </w:p>
        </w:tc>
        <w:tc>
          <w:tcPr>
            <w:tcW w:type="dxa" w:w="1740"/>
          </w:tcPr>
          <w:p>
            <w:pPr>
              <w:spacing w:after="0"/>
            </w:pPr>
            <w:r>
              <w:rPr>
                <w:sz w:val="16"/>
              </w:rPr>
            </w:r>
            <w:r>
              <w:rPr>
                <w:rFonts w:ascii="Times New Roman" w:hAnsi="Times New Roman"/>
                <w:sz w:val="16"/>
              </w:rPr>
              <w:t>0.946</w:t>
            </w:r>
          </w:p>
        </w:tc>
        <w:tc>
          <w:tcPr>
            <w:tcW w:type="dxa" w:w="1740"/>
          </w:tcPr>
          <w:p>
            <w:pPr>
              <w:spacing w:after="0"/>
            </w:pPr>
            <w:r>
              <w:rPr>
                <w:sz w:val="16"/>
              </w:rPr>
            </w:r>
            <w:r>
              <w:rPr>
                <w:rFonts w:ascii="Times New Roman" w:hAnsi="Times New Roman"/>
                <w:sz w:val="16"/>
              </w:rPr>
              <w:t>0.809</w:t>
            </w:r>
          </w:p>
        </w:tc>
      </w:tr>
      <w:tr>
        <w:tc>
          <w:tcPr>
            <w:tcW w:type="dxa" w:w="1740"/>
          </w:tcPr>
          <w:p>
            <w:pPr>
              <w:spacing w:after="0"/>
            </w:pPr>
            <w:r>
              <w:rPr>
                <w:sz w:val="16"/>
              </w:rPr>
            </w:r>
            <w:r>
              <w:rPr>
                <w:rFonts w:ascii="Times New Roman" w:hAnsi="Times New Roman"/>
                <w:sz w:val="16"/>
              </w:rPr>
              <w:t>4. calibrated combination</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b/>
                <w:sz w:val="16"/>
              </w:rPr>
              <w:t>1.000</w:t>
            </w:r>
          </w:p>
        </w:tc>
        <w:tc>
          <w:tcPr>
            <w:tcW w:type="dxa" w:w="1740"/>
          </w:tcPr>
          <w:p>
            <w:pPr>
              <w:spacing w:after="0"/>
            </w:pPr>
            <w:r>
              <w:rPr>
                <w:sz w:val="16"/>
              </w:rPr>
            </w:r>
            <w:r>
              <w:rPr>
                <w:rFonts w:ascii="Times New Roman" w:hAnsi="Times New Roman"/>
                <w:sz w:val="16"/>
              </w:rPr>
              <w:t>0.800</w:t>
            </w:r>
          </w:p>
        </w:tc>
      </w:tr>
      <w:tr>
        <w:tc>
          <w:tcPr>
            <w:tcW w:type="dxa" w:w="1740"/>
          </w:tcPr>
          <w:p>
            <w:pPr>
              <w:spacing w:after="0"/>
            </w:pPr>
            <w:r>
              <w:rPr>
                <w:sz w:val="16"/>
              </w:rPr>
            </w:r>
            <w:r>
              <w:rPr>
                <w:rFonts w:ascii="Times New Roman" w:hAnsi="Times New Roman"/>
                <w:sz w:val="16"/>
              </w:rPr>
              <w:t>2. generator self-report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b/>
                <w:sz w:val="16"/>
              </w:rPr>
              <w:t>0.821</w:t>
            </w:r>
          </w:p>
        </w:tc>
        <w:tc>
          <w:tcPr>
            <w:tcW w:type="dxa" w:w="1740"/>
          </w:tcPr>
          <w:p>
            <w:pPr>
              <w:spacing w:after="0"/>
            </w:pPr>
            <w:r>
              <w:rPr>
                <w:sz w:val="16"/>
              </w:rPr>
            </w:r>
            <w:r>
              <w:rPr>
                <w:rFonts w:ascii="Times New Roman" w:hAnsi="Times New Roman"/>
                <w:b/>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b/>
                <w:sz w:val="16"/>
              </w:rPr>
              <w:t>0.874</w:t>
            </w:r>
          </w:p>
        </w:tc>
      </w:tr>
      <w:tr>
        <w:tc>
          <w:tcPr>
            <w:tcW w:type="dxa" w:w="1740"/>
          </w:tcPr>
          <w:p>
            <w:pPr>
              <w:spacing w:after="0"/>
            </w:pPr>
            <w:r>
              <w:rPr>
                <w:sz w:val="16"/>
              </w:rPr>
            </w:r>
            <w:r>
              <w:rPr>
                <w:rFonts w:ascii="Times New Roman" w:hAnsi="Times New Roman"/>
                <w:sz w:val="16"/>
              </w:rPr>
              <w:t>3. NLI entailment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sz w:val="16"/>
              </w:rPr>
              <w:t>0.821</w:t>
            </w:r>
          </w:p>
        </w:tc>
        <w:tc>
          <w:tcPr>
            <w:tcW w:type="dxa" w:w="1740"/>
          </w:tcPr>
          <w:p>
            <w:pPr>
              <w:spacing w:after="0"/>
            </w:pPr>
            <w:r>
              <w:rPr>
                <w:sz w:val="16"/>
              </w:rPr>
            </w:r>
            <w:r>
              <w:rPr>
                <w:rFonts w:ascii="Times New Roman" w:hAnsi="Times New Roman"/>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sz w:val="16"/>
              </w:rPr>
              <w:t>0.874</w:t>
            </w:r>
          </w:p>
        </w:tc>
      </w:tr>
    </w:tbl>
    <w:p>
      <w:pPr>
        <w:spacing w:after="40"/>
      </w:pPr>
    </w:p>
    <w:p>
      <w:pPr>
        <w:spacing w:after="0"/>
        <w:ind w:firstLine="288"/>
        <w:jc w:val="both"/>
      </w:pPr>
      <w:r>
        <w:rPr>
          <w:rFonts w:ascii="Times New Roman" w:hAnsi="Times New Roman"/>
          <w:b/>
          <w:sz w:val="20"/>
        </w:rPr>
        <w:t>The aggregate table is misleading and the confusion matrices are not.</w:t>
      </w:r>
      <w:r>
        <w:rPr>
          <w:rFonts w:ascii="Times New Roman" w:hAnsi="Times New Roman"/>
          <w:sz w:val="20"/>
        </w:rPr>
        <w:t xml:space="preserve"> Signal 4 reaches recall 1.000 by refusing every question in the reported set: 56 of 56 unanswerable caught, and 0 of 28 answerable answered. Its precision of 0.667 is the base rate exactly, which is what a system abstaining unconditionally scores. Signal 1 is the same failure in milder form, answering 6 of 28. Only the generator's self-report produces a system that answers anything: 17 of 28 answerable, while still catching 52 of 56 unanswerable.</w:t>
      </w:r>
    </w:p>
    <w:p>
      <w:pPr>
        <w:spacing w:after="0"/>
        <w:ind w:firstLine="288"/>
        <w:jc w:val="both"/>
      </w:pPr>
      <w:r>
        <w:rPr>
          <w:rFonts w:ascii="Times New Roman" w:hAnsi="Times New Roman"/>
          <w:sz w:val="20"/>
        </w:rPr>
        <w:t>Per-class recall has to be read against that. Signal 4 scores 1.000 on every unanswerable class and the number means nothing, because it abstains on everything and every class is "caught" by construction. The generator's figures are earned: false-premise 1.000, under-specified 1.000, near-miss 0.952, out-of-scope 0.824.</w:t>
      </w:r>
    </w:p>
    <w:p>
      <w:pPr>
        <w:spacing w:before="200" w:after="80"/>
        <w:jc w:val="left"/>
      </w:pPr>
      <w:r>
        <w:rPr>
          <w:rFonts w:ascii="Times New Roman" w:hAnsi="Times New Roman"/>
          <w:i/>
          <w:sz w:val="20"/>
        </w:rPr>
        <w:t>H.2 Entailment adds nothing once the generator has abstained</w:t>
      </w:r>
    </w:p>
    <w:p>
      <w:pPr>
        <w:spacing w:after="0"/>
        <w:ind w:firstLine="288"/>
        <w:jc w:val="both"/>
      </w:pPr>
      <w:r>
        <w:rPr>
          <w:rFonts w:ascii="Times New Roman" w:hAnsi="Times New Roman"/>
          <w:sz w:val="20"/>
        </w:rPr>
        <w:t xml:space="preserve">Signals 2 and 3 are bit-identical, and that is a result rather than a bug. Both fits chose their degenerate threshold — </w:t>
      </w:r>
      <w:r>
        <w:rPr>
          <w:rFonts w:ascii="Consolas" w:hAnsi="Consolas"/>
          <w:sz w:val="17"/>
        </w:rPr>
        <w:t>min_confidence</w:t>
      </w:r>
      <w:r>
        <w:rPr>
          <w:rFonts w:ascii="Times New Roman" w:hAnsi="Times New Roman"/>
          <w:sz w:val="20"/>
        </w:rPr>
        <w:t xml:space="preserve"> 0.00 and τ 0.000 — so each reduces to the same decision: did the generator decline to answer. Neither the model's self-reported confidence nor the entailment probability improves on the binary abstention flag.</w:t>
      </w:r>
    </w:p>
    <w:p>
      <w:pPr>
        <w:spacing w:after="0"/>
        <w:ind w:firstLine="288"/>
        <w:jc w:val="both"/>
      </w:pPr>
      <w:r>
        <w:rPr>
          <w:rFonts w:ascii="Times New Roman" w:hAnsi="Times New Roman"/>
          <w:sz w:val="20"/>
        </w:rPr>
        <w:t xml:space="preserve">The reason is visible in the counts. Of the 120 sampled items the generator answered only 25, having abstained on the rest, and of those 25 just </w:t>
      </w:r>
      <w:r>
        <w:rPr>
          <w:rFonts w:ascii="Times New Roman" w:hAnsi="Times New Roman"/>
          <w:b/>
          <w:sz w:val="20"/>
        </w:rPr>
        <w:t>two</w:t>
      </w:r>
      <w:r>
        <w:rPr>
          <w:rFonts w:ascii="Times New Roman" w:hAnsi="Times New Roman"/>
          <w:sz w:val="20"/>
        </w:rPr>
        <w:t xml:space="preserve"> are truly unanswerable. There is almost nothing left for a second filter to catch, so no threshold on entailment can improve F1 and the fit correctly declines to set one.</w:t>
      </w:r>
    </w:p>
    <w:p>
      <w:pPr>
        <w:spacing w:after="0"/>
        <w:ind w:firstLine="288"/>
        <w:jc w:val="both"/>
      </w:pPr>
      <w:r>
        <w:rPr>
          <w:rFonts w:ascii="Times New Roman" w:hAnsi="Times New Roman"/>
          <w:sz w:val="20"/>
        </w:rPr>
        <w:t>Entailment is not uninformative — on those 25 answers it separates the classes with an AUC of 0.848, the two false positives scoring a median entailment of 0.045 against 0.428 for the correctly answered. But an AUC computed against two negatives is an observation, not a result, and we report it as one. What can be said firmly is that on this corpus the generator's own abstention already does the work the entailment check was added to do, and that a verification step has value in proportion to how much the generator lets through.</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twenty failures drawn against a fixed taxonomy of ten categories — code-mixing, transliteration variation, named entities, amounts, dates, ambiguity, near-duplicate schemes across schemes, the cross-lingual gap, long-tail schemes, and short queries — with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 xml:space="preserve">Each case is recorded as a structured record — query, gold passages, the ranked output of each system under comparison, the generated answer, a diagnosis, and the component judged to have failed — and is committed to the repository as </w:t>
      </w:r>
      <w:r>
        <w:rPr>
          <w:rFonts w:ascii="Consolas" w:hAnsi="Consolas"/>
          <w:sz w:val="17"/>
        </w:rPr>
        <w:t>evals/errors.jsonl</w:t>
      </w:r>
      <w:r>
        <w:rPr>
          <w:rFonts w:ascii="Times New Roman" w:hAnsi="Times New Roman"/>
          <w:sz w:val="20"/>
        </w:rPr>
        <w:t xml:space="preserve"> alongside the rendered report. The diagnosis field names one of retrieval, generation, answerability or data, so that the distribution of failures across components is itself a result rather than an impression.</w:t>
      </w:r>
    </w:p>
    <w:p>
      <w:pPr>
        <w:spacing w:before="200" w:after="80"/>
        <w:jc w:val="left"/>
      </w:pPr>
      <w:r>
        <w:rPr>
          <w:rFonts w:ascii="Times New Roman" w:hAnsi="Times New Roman"/>
          <w:i/>
          <w:sz w:val="20"/>
        </w:rPr>
        <w:t>B. What the cases showed</w:t>
      </w:r>
    </w:p>
    <w:p>
      <w:pPr>
        <w:spacing w:after="0"/>
        <w:ind w:firstLine="288"/>
        <w:jc w:val="both"/>
      </w:pPr>
      <w:r>
        <w:rPr>
          <w:rFonts w:ascii="Times New Roman" w:hAnsi="Times New Roman"/>
          <w:sz w:val="20"/>
        </w:rPr>
        <w:t xml:space="preserve">The dominant failure mode is not subtle. In the majority of the twenty cases the gold passage was never retrieved at all, and the top-ranked hit was the correct scheme in the </w:t>
      </w:r>
      <w:r>
        <w:rPr>
          <w:rFonts w:ascii="Times New Roman" w:hAnsi="Times New Roman"/>
          <w:i/>
          <w:sz w:val="20"/>
        </w:rPr>
        <w:t>wrong language</w:t>
      </w:r>
      <w:r>
        <w:rPr>
          <w:rFonts w:ascii="Times New Roman" w:hAnsi="Times New Roman"/>
          <w:sz w:val="20"/>
        </w:rPr>
        <w:t>: a Hinglish query about the National Health Mission's untied grants returns the English article when the gold passage is the Hindi one, and an English query about Sukanya Samriddhi eligibility does the same in reverse. The system was not confused about the topic. It was confused about nothing at all — it had simply never been able to see the passage that would have answered the question.</w:t>
      </w:r>
    </w:p>
    <w:p>
      <w:pPr>
        <w:spacing w:after="0"/>
        <w:ind w:firstLine="288"/>
        <w:jc w:val="both"/>
      </w:pPr>
      <w:r>
        <w:rPr>
          <w:rFonts w:ascii="Times New Roman" w:hAnsi="Times New Roman"/>
          <w:sz w:val="20"/>
        </w:rPr>
        <w:t>This concentrates the error in one component. Categories that appear linguistically distinct in the taxonomy — code-mixing, transliteration variation, the cross-lingual gap — turn out to share a single mechanism once the retrieved lists are read side by side, and that mechanism is a retriever that cannot cross a script boundary. In 16 of the 20 cases the gold passage is not returned at any rank, and all 20 are diagnosed as retrieval failures.</w:t>
      </w:r>
    </w:p>
    <w:p>
      <w:pPr>
        <w:spacing w:after="0"/>
        <w:ind w:firstLine="288"/>
        <w:jc w:val="both"/>
      </w:pPr>
      <w:r>
        <w:rPr>
          <w:rFonts w:ascii="Times New Roman" w:hAnsi="Times New Roman"/>
          <w:b/>
          <w:sz w:val="20"/>
        </w:rPr>
        <w:t>That unanimity is a property of the selection, not a finding about the generator.</w:t>
      </w:r>
      <w:r>
        <w:rPr>
          <w:rFonts w:ascii="Times New Roman" w:hAnsi="Times New Roman"/>
          <w:sz w:val="20"/>
        </w:rPr>
        <w:t xml:space="preserve"> The cases are drawn from retrieval failures against a taxonomy of retrieval phenomena, so a generation error has no route into this sample. It would be a mistake to read "all 20 are retrieval" as evidence that the generator is sound, and §VI-G.1 shows the opposite: given the gold passage and nothing to find, the generator still loses 0.597 token-F1, three times what retrieval loses. The error analysis says where </w:t>
      </w:r>
      <w:r>
        <w:rPr>
          <w:rFonts w:ascii="Times New Roman" w:hAnsi="Times New Roman"/>
          <w:i/>
          <w:sz w:val="20"/>
        </w:rPr>
        <w:t>retrieval</w:t>
      </w:r>
      <w:r>
        <w:rPr>
          <w:rFonts w:ascii="Times New Roman" w:hAnsi="Times New Roman"/>
          <w:sz w:val="20"/>
        </w:rPr>
        <w:t xml:space="preserve"> fails and why; the oracle arm is what says how the two components compare.</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One case (E02 in the committed report)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that beat either endpoint by more than 0.001,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probe set it takes cross-lingual Recall@5 from 0.022 to 0.153 (paired randomization test, p = 0.0001) and code-mixed Recall@5 from 0.028 to 0.173 (p = 0.0002), against a dense-only baseline of 0.125 and 0.132 respectively. The comparison against dense alone is the one that decides whether hybrid retrieval earns its place at all, and script-aware fusion beats it overall by 0.050 (p = 0.0086).</w:t>
      </w:r>
    </w:p>
    <w:p>
      <w:pPr>
        <w:spacing w:after="0"/>
        <w:ind w:firstLine="288"/>
        <w:jc w:val="both"/>
      </w:pPr>
      <w:r>
        <w:rPr>
          <w:rFonts w:ascii="Times New Roman" w:hAnsi="Times New Roman"/>
          <w:sz w:val="20"/>
        </w:rPr>
        <w:t>This also revises a negative result reported earlier in the same work. The α sweep had found no interior weighting that beat both endpoints, and we had recorded the hypothesis that hybrid retrieval outperforms its components as unsupported. That verdict was correct about the method it tested and wrong about the hypothesis: hybrid retrieval does beat its own components on this corpus, but only once fusion stops penalising passages for being written in the language the query was not.</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Script-aware fusion is a trade and not a free win. Monolingual Recall@5 falls from 0.712 to 0.668, a regression of 0.044 at p = 0.032. Removing the lexical double-vote costs precision exactly where it was legitimate — where both retrievers could see the same passage, agreement between them really was evidence, and we are now discarding some of it.</w:t>
      </w:r>
    </w:p>
    <w:p>
      <w:pPr>
        <w:spacing w:after="0"/>
        <w:ind w:firstLine="288"/>
        <w:jc w:val="both"/>
      </w:pPr>
      <w:r>
        <w:rPr>
          <w:rFonts w:ascii="Times New Roman" w:hAnsi="Times New Roman"/>
          <w:sz w:val="20"/>
        </w:rPr>
        <w:t>On this corpus the trade is clearly favourable, because monolingual retrieval was already strong and cross-lingual retrieval was near zero, and a method that moves a slice from 0.022 to 0.153 at the cost of 0.044 elsewhere is buying a great deal for very little. On a deployment whose queries are overwhelmingly monolingual the same trade would be a poor one. We report the regression rather than the aggregate because the aggregate hides it: overall Recall@5 moves from 0.483 to 0.500, a difference indistinguishable from noise (p = 0.32), and a paper reporting only that number would be concealing both the gain and the cost.</w:t>
      </w:r>
    </w:p>
    <w:p>
      <w:pPr>
        <w:spacing w:before="200" w:after="80"/>
        <w:jc w:val="left"/>
      </w:pPr>
      <w:r>
        <w:rPr>
          <w:rFonts w:ascii="Times New Roman" w:hAnsi="Times New Roman"/>
          <w:i/>
          <w:sz w:val="20"/>
        </w:rPr>
        <w:t>D. Retrieval is not the binding constraint here</w:t>
      </w:r>
    </w:p>
    <w:p>
      <w:pPr>
        <w:spacing w:after="0"/>
        <w:ind w:firstLine="288"/>
        <w:jc w:val="both"/>
      </w:pPr>
      <w:r>
        <w:rPr>
          <w:rFonts w:ascii="Times New Roman" w:hAnsi="Times New Roman"/>
          <w:sz w:val="20"/>
        </w:rPr>
        <w:t>The oracle arm of §VI-G puts a number on what this correction can be worth end to end, and it is smaller than the retrieval figures alone suggest. Given the gold passage and nothing to find, our generator reaches 0.403 token-F1; the full system reaches 0.210. Generation error is therefore 0.597 and retrieval error 0.193, a factor of three apart.</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at this sample size: paired over the questions both arms answered, arm C exceeds arm B by 0.003 token-F1 (p = 0.89) and 0.026 citation support (p = 1.00).</w:t>
      </w:r>
    </w:p>
    <w:p>
      <w:pPr>
        <w:spacing w:after="0"/>
        <w:ind w:firstLine="288"/>
        <w:jc w:val="both"/>
      </w:pPr>
      <w:r>
        <w:rPr>
          <w:rFonts w:ascii="Times New Roman" w:hAnsi="Times New Roman"/>
          <w:sz w:val="20"/>
        </w:rPr>
        <w:t>The two facts fit together rather than conflicting. A generator losing 0.597 on its own is a noise floor that a retrieval gain has to clear to become visible downstream, and on 72 questions a gain of this size does not clear it. A reader who cares about end-to-end answer quality should know that fixing retrieval entirely would buy 0.193, while the generator is leaving 0.597 on the table.</w:t>
      </w:r>
    </w:p>
    <w:p>
      <w:pPr>
        <w:spacing w:after="0"/>
        <w:ind w:firstLine="288"/>
        <w:jc w:val="both"/>
      </w:pPr>
      <w:r>
        <w:rPr>
          <w:rFonts w:ascii="Times New Roman" w:hAnsi="Times New Roman"/>
          <w:sz w:val="20"/>
        </w:rPr>
        <w:t>That ratio is a property of this configuration, not a general law. A 3B model at 4-bit quantization is a deliberately small generator, chosen so every number here is reproducible on commodity hardware, and a larger one would move the 0.597 without touching the 0.193. The point is that the two error sources have to be measured separately before either is optimised, which is precisely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a single primary annotator.</w:t>
      </w:r>
      <w:r>
        <w:rPr>
          <w:rFonts w:ascii="Times New Roman" w:hAnsi="Times New Roman"/>
          <w:sz w:val="20"/>
        </w:rPr>
        <w:t xml:space="preserve"> The evaluation set is 400 items, of which 320 are answerable, spread over six query-language-by-passage-language cells. Cells therefore hold 45 to 70 items each, and per-cell differences of a few points are not resolvable. All items are authored by a single primary annotator working from model-generated candidates; a stratified 15% second pass re-labels the answerability decision blind, and Cohen's κ is reported, with κ ≥ 0.70 treated as a gate on reporting any answerability result. Inter-annotator agreement on a 15% sample is a weaker control than independent double annotation throughout, which was not feasible here.</w:t>
      </w:r>
    </w:p>
    <w:p>
      <w:pPr>
        <w:spacing w:after="0"/>
        <w:ind w:firstLine="288"/>
        <w:jc w:val="both"/>
      </w:pPr>
      <w:r>
        <w:rPr>
          <w:rFonts w:ascii="Times New Roman" w:hAnsi="Times New Roman"/>
          <w:b/>
          <w:sz w:val="20"/>
        </w:rPr>
        <w:t>Preliminary numbers.</w:t>
      </w:r>
      <w:r>
        <w:rPr>
          <w:rFonts w:ascii="Times New Roman" w:hAnsi="Times New Roman"/>
          <w:sz w:val="20"/>
        </w:rPr>
        <w:t xml:space="preserve"> Every retrieval figure in this paper is measured on synthetic probes rather than on the verified gold set, and is marked </w:t>
      </w:r>
      <w:r>
        <w:rPr>
          <w:rFonts w:ascii="Consolas" w:hAnsi="Consolas"/>
          <w:sz w:val="17"/>
        </w:rPr>
        <w:t>[PROBE]</w:t>
      </w:r>
      <w:r>
        <w:rPr>
          <w:rFonts w:ascii="Times New Roman" w:hAnsi="Times New Roman"/>
          <w:sz w:val="20"/>
        </w:rPr>
        <w:t xml:space="preserve"> throughout. The probes are constructed from real passages and real article titles, and the mechanism they expose is structural rather than statistical, so we do not expect the direction of the fusion result to change. The magnitudes may. Any figure still marked </w:t>
      </w:r>
      <w:r>
        <w:rPr>
          <w:rFonts w:ascii="Consolas" w:hAnsi="Consolas"/>
          <w:sz w:val="17"/>
        </w:rPr>
        <w:t>[PROBE]</w:t>
      </w:r>
      <w:r>
        <w:rPr>
          <w:rFonts w:ascii="Times New Roman" w:hAnsi="Times New Roman"/>
          <w:sz w:val="20"/>
        </w:rPr>
        <w:t xml:space="preserve"> at submission is labelled as such in the text, and no such figure is reported as a gold-set result.</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one encoder pair.</w:t>
      </w:r>
      <w:r>
        <w:rPr>
          <w:rFonts w:ascii="Times New Roman" w:hAnsi="Times New Roman"/>
          <w:sz w:val="20"/>
        </w:rPr>
        <w:t xml:space="preserve"> Script-aware fusion is evaluated over BM25 and multilingual-e5-base. As §VI-F reports, LaBSE used alone outperforms that fused system on the code-mixed slice by a wide margin (0.332 against 0.173), which means that on code-mixed queries a better encoder choice beats correcting the fusion over a weaker one. The correction is orthogonal to encoder choice and could be applied over LaBSE; we have not tested that combination, and until we do, our results establish that script-aware fusion repairs a specific defect in rank fusion, not that the resulting system is the strongest available configuration.</w:t>
      </w:r>
    </w:p>
    <w:p>
      <w:pPr>
        <w:spacing w:after="0"/>
        <w:ind w:firstLine="288"/>
        <w:jc w:val="both"/>
      </w:pPr>
      <w:r>
        <w:rPr>
          <w:rFonts w:ascii="Times New Roman" w:hAnsi="Times New Roman"/>
          <w:b/>
          <w:sz w:val="20"/>
        </w:rPr>
        <w:t>Most of our own pre-registered targets were missed.</w:t>
      </w:r>
      <w:r>
        <w:rPr>
          <w:rFonts w:ascii="Times New Roman" w:hAnsi="Times New Roman"/>
          <w:sz w:val="20"/>
        </w:rPr>
        <w:t xml:space="preserve"> We fixed eight success criteria before collecting any number — retrieval recall by language group, answerability F1, citation support, annotator agreement — and met one of them: that the closed-book arm would sit far below the retrieval arms on citation support. We report this rather than quietly dropping the targets, and two of the misses are informative. The retrieval targets (0.85 monolingual, 0.70 cross-lingual) were set against an imagined corpus of official scheme guidelines, where a question and its answer share vocabulary; they were never recalibrated when that corpus proved unobtainable and an encyclopedic one was substituted, which is an error in our planning rather than in the system. The answerability target of 0.75 was unreachable by the signal it assumed, for the reason §VI-H gives. A target missed because the question changed under it is worth separating from a target missed because the method failed, and these are mostly the former.</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our negative result about it is bounded by our own taxonomy.</w:t>
      </w:r>
      <w:r>
        <w:rPr>
          <w:rFonts w:ascii="Times New Roman" w:hAnsi="Times New Roman"/>
          <w:sz w:val="20"/>
        </w:rPr>
        <w:t xml:space="preserve"> We show it carries no information here, but the reason is that 55 of our 80 unanswerable items are written about schemes present in the corpus. A benchmark whose unanswerable questions were predominantly out-of-scope would find the same threshold useful, and the 0.688 recall we measure on that one class shows why. The claim is therefore conditional: retrieval-score thresholds fail on unanswerable questions about </w:t>
      </w:r>
      <w:r>
        <w:rPr>
          <w:rFonts w:ascii="Times New Roman" w:hAnsi="Times New Roman"/>
          <w:i/>
          <w:sz w:val="20"/>
        </w:rPr>
        <w:t>present</w:t>
      </w:r>
      <w:r>
        <w:rPr>
          <w:rFonts w:ascii="Times New Roman" w:hAnsi="Times New Roman"/>
          <w:sz w:val="20"/>
        </w:rPr>
        <w:t xml:space="preserve"> topics, which we argue is the deployment-relevant case for a system fielding questions about schemes it documents, but we have not shown they fail in general. We evaluate a natural-language-inference signal alongside, which addresses exactly the classes the threshold cannot see.</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400-item evaluation set annotated across six query-language-by-passage-language cells and a taxonomy of four unanswerable question types.</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cross-lingual Recall@5 improves roughly sevenfold and code-mixed roughly sixfold on our probe set, at a measured cost of 0.044 monolingual Recall@5, with no training and one additional lookup per candidate.</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The oracle arm shows generation error of 0.597 against retrieval error of 0.193 on our configuration: correcting retrieval entirely would buy less than a third of what the generator is currently losing. The fusion result is a claim about retrieval, and it is not a claim that retrieval is what most limits answer quality on a corpus like this one. Separating the two is what the oracle arm exists to do, and doing it changed what we would advise a practitioner to fix first.</w:t>
      </w:r>
    </w:p>
    <w:p>
      <w:pPr>
        <w:spacing w:after="0"/>
        <w:ind w:firstLine="288"/>
        <w:jc w:val="both"/>
      </w:pPr>
      <w:r>
        <w:rPr>
          <w:rFonts w:ascii="Times New Roman" w:hAnsi="Times New Roman"/>
          <w:sz w:val="20"/>
        </w:rPr>
        <w:t xml:space="preserve">Immediate future work is to complete human verification of the evaluation set and replace every </w:t>
      </w:r>
      <w:r>
        <w:rPr>
          <w:rFonts w:ascii="Consolas" w:hAnsi="Consolas"/>
          <w:sz w:val="17"/>
        </w:rPr>
        <w:t>[PROBE]</w:t>
      </w:r>
      <w:r>
        <w:rPr>
          <w:rFonts w:ascii="Times New Roman" w:hAnsi="Times New Roman"/>
          <w:sz w:val="20"/>
        </w:rPr>
        <w:t xml:space="preserve"> figure with a gold-set measurement;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