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2E74B5"/>
          <w:sz w:val="22"/>
        </w:rPr>
        <w:t>SIH PROJECT HANDBOOK</w:t>
      </w:r>
    </w:p>
    <w:p>
      <w:pPr>
        <w:pStyle w:val="Title"/>
        <w:jc w:val="center"/>
      </w:pPr>
      <w:r>
        <w:t>FloatChat-Lite</w:t>
      </w:r>
    </w:p>
    <w:p>
      <w:pPr>
        <w:pStyle w:val="Subtitle"/>
        <w:jc w:val="center"/>
      </w:pPr>
      <w:r>
        <w:t>Explainable conversational access to Indian Ocean ARGO data</w:t>
      </w:r>
    </w:p>
    <w:p>
      <w:pPr>
        <w:spacing w:before="440" w:after="400"/>
        <w:jc w:val="center"/>
      </w:pPr>
      <w:r>
        <w:rPr>
          <w:rFonts w:ascii="Calibri" w:hAnsi="Calibri"/>
          <w:b/>
          <w:i w:val="0"/>
          <w:color w:val="7A5A00"/>
          <w:sz w:val="22"/>
        </w:rPr>
        <w:t>Focused, explainable, and buildable by a small student team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5B6573"/>
          <w:sz w:val="21"/>
        </w:rPr>
        <w:t>Version 1.0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5B6573"/>
          <w:sz w:val="21"/>
        </w:rPr>
        <w:t>Prepared 14 August 2026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5B6573"/>
          <w:sz w:val="21"/>
        </w:rPr>
        <w:t>Status: implementation-ready baseline; validation evidence pending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Project in one sentence: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 user asks an ocean-data question in plain language and receives a chart, map, anomaly context, data sufficiency, and a transparent explanation based on preprocessed INCOIS ARGO profiles.</w:t>
            </w:r>
          </w:p>
        </w:tc>
      </w:tr>
    </w:tbl>
    <w:p>
      <w:pPr>
        <w:spacing w:after="40"/>
      </w:pPr>
    </w:p>
    <w:p>
      <w:r>
        <w:t>FloatChat-Lite reduces the gap between technically rich ARGO observations and users who do not work directly with NetCDF files, quality-control flags, or scientific Python. The first release is intentionally narrow: three query types, temperature and salinity, a single web screen, one API endpoint, file-based storage, and an explainable z-score baseline. This scope is designed for a six-member student team and can be compressed into a 48-hour hackathon sprint after the data subset is prepared.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Primary outcome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judge can ask a pinned question and understand both the result and how it was computed.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Core proof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Natural-language query -&gt; structured parameters -&gt; ARGO retrieval -&gt; anomaly scoring -&gt; explained visual response.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Build philosophy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Prefer a small reliable pipeline over a broad platform with unfinished integrations.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Evidence rule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 not claim parser accuracy, anomaly validation, or impact until the result has been run and recorded.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2. Problem and evidence</w:t>
      </w:r>
    </w:p>
    <w:p>
      <w:r>
        <w:t>ARGO data provides vertically resolved ocean observations, but the official workflow commonly involves profile files, NetCDF variables, adjusted values, and quality-control flags [E1][E2]. INCOIS and other Argo services provide authoritative access, while selection and visualization tools help users find and download observations [E3][E4]. The remaining product gap is not data availability; it is a lightweight, answer-oriented workflow that joins plain-language access, transparent anomaly context, and answer-specific data sufficiency.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50"/>
        <w:gridCol w:w="3180"/>
        <w:gridCol w:w="3630"/>
      </w:tblGrid>
      <w:tr>
        <w:trPr>
          <w:cantSplit/>
          <w:tblHeader w:val="true"/>
        </w:trPr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Root cause</w:t>
            </w:r>
          </w:p>
        </w:tc>
        <w:tc>
          <w:tcPr>
            <w:tcW w:type="dxa" w:w="3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 pain</w:t>
            </w:r>
          </w:p>
        </w:tc>
        <w:tc>
          <w:tcPr>
            <w:tcW w:type="dxa" w:w="3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Product response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Technical data formats and QC conventions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Non-specialists cannot quickly answer a simple location/time question.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Preprocess once; expose a narrow query contract.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Existing tools emphasize selection, files, or plots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Users must manually connect the data, context, and meaning.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Return one complete response with data, chart, map, and explanation.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Anomaly logic is often analyst-facing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flag can look authoritative without baseline or sample context.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Show baseline, z-score meaning, profile count, radius, and confidence.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External AI can fail or return malformed output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live demo becomes dependent on one network call.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 one LLM parser with a deterministic rule-based fallback.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3. Users and priority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600"/>
        <w:gridCol w:w="3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Immediate need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Pinned scenario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Forecaster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Quick first read before deeper operational analysis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Temperature profile near Mumbai in July 2024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Researcher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Rapid exploration of a long time series and unusual periods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SST time series at 19N, 72.8E for 2015-2024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Student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Defensible access to real observations without an xarray learning curve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Average salinity in the Bay of Bengal in 2023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Policy analyst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result that states source, method, and confidence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Explain why a value is unusual and how much data supports it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4. Scope boundaries</w:t>
      </w:r>
    </w:p>
    <w:p>
      <w:pPr>
        <w:pStyle w:val="Heading2"/>
      </w:pPr>
      <w:r>
        <w:t>4.1 Must ship</w:t>
      </w:r>
    </w:p>
    <w:p>
      <w:pPr>
        <w:numPr>
          <w:ilvl w:val="0"/>
          <w:numId w:val="10"/>
        </w:numPr>
        <w:spacing w:after="80" w:line="300" w:lineRule="auto"/>
      </w:pPr>
      <w:r>
        <w:t>A single chat screen with an input, suggested queries, loading/error states, and one result area.</w:t>
      </w:r>
    </w:p>
    <w:p>
      <w:pPr>
        <w:numPr>
          <w:ilvl w:val="0"/>
          <w:numId w:val="10"/>
        </w:numPr>
        <w:spacing w:after="80" w:line="300" w:lineRule="auto"/>
      </w:pPr>
      <w:r>
        <w:t>Three query types: depth profile, regional average, and time series.</w:t>
      </w:r>
    </w:p>
    <w:p>
      <w:pPr>
        <w:numPr>
          <w:ilvl w:val="0"/>
          <w:numId w:val="10"/>
        </w:numPr>
        <w:spacing w:after="80" w:line="300" w:lineRule="auto"/>
      </w:pPr>
      <w:r>
        <w:t>Temperature, salinity, and a clearly disclosed shallow-water SST proxy using the shallowest value at or above the chosen cutoff.</w:t>
      </w:r>
    </w:p>
    <w:p>
      <w:pPr>
        <w:numPr>
          <w:ilvl w:val="0"/>
          <w:numId w:val="10"/>
        </w:numPr>
        <w:spacing w:after="80" w:line="300" w:lineRule="auto"/>
      </w:pPr>
      <w:r>
        <w:t>Preprocessed ARGO data in Parquet, plus separate production and validation baseline tables.</w:t>
      </w:r>
    </w:p>
    <w:p>
      <w:pPr>
        <w:numPr>
          <w:ilvl w:val="0"/>
          <w:numId w:val="10"/>
        </w:numPr>
        <w:spacing w:after="80" w:line="300" w:lineRule="auto"/>
      </w:pPr>
      <w:r>
        <w:t>Optional anomaly scoring using a transparent monthly regional z-score.</w:t>
      </w:r>
    </w:p>
    <w:p>
      <w:pPr>
        <w:numPr>
          <w:ilvl w:val="0"/>
          <w:numId w:val="10"/>
        </w:numPr>
        <w:spacing w:after="80" w:line="300" w:lineRule="auto"/>
      </w:pPr>
      <w:r>
        <w:t>Data-sufficiency output on every successful response and confidence-aware anomaly presentation.</w:t>
      </w:r>
    </w:p>
    <w:p>
      <w:pPr>
        <w:numPr>
          <w:ilvl w:val="0"/>
          <w:numId w:val="10"/>
        </w:numPr>
        <w:spacing w:after="80" w:line="300" w:lineRule="auto"/>
      </w:pPr>
      <w:r>
        <w:t>Friendly no-data, parse-error, and general-error responses.</w:t>
      </w:r>
    </w:p>
    <w:p>
      <w:pPr>
        <w:numPr>
          <w:ilvl w:val="0"/>
          <w:numId w:val="10"/>
        </w:numPr>
        <w:spacing w:after="80" w:line="300" w:lineRule="auto"/>
      </w:pPr>
      <w:r>
        <w:t>A rule-based parsing fallback and a visible degraded-mode disclosure.</w:t>
      </w:r>
    </w:p>
    <w:p>
      <w:pPr>
        <w:pStyle w:val="Heading2"/>
      </w:pPr>
      <w:r>
        <w:t>4.2 Explicit non-goals for the first release</w:t>
      </w:r>
    </w:p>
    <w:p>
      <w:pPr>
        <w:numPr>
          <w:ilvl w:val="0"/>
          <w:numId w:val="10"/>
        </w:numPr>
        <w:spacing w:after="80" w:line="300" w:lineRule="auto"/>
      </w:pPr>
      <w:r>
        <w:t>No user accounts, authentication, persistent chat history, or multi-turn memory.</w:t>
      </w:r>
    </w:p>
    <w:p>
      <w:pPr>
        <w:numPr>
          <w:ilvl w:val="0"/>
          <w:numId w:val="10"/>
        </w:numPr>
        <w:spacing w:after="80" w:line="300" w:lineRule="auto"/>
      </w:pPr>
      <w:r>
        <w:t>No database server; use versioned Parquet/CSV artifacts for the read-only demo dataset.</w:t>
      </w:r>
    </w:p>
    <w:p>
      <w:pPr>
        <w:numPr>
          <w:ilvl w:val="0"/>
          <w:numId w:val="10"/>
        </w:numPr>
        <w:spacing w:after="80" w:line="300" w:lineRule="auto"/>
      </w:pPr>
      <w:r>
        <w:t>No LangChain, fine-tuning, vector database, agent framework, or multiple LLM providers.</w:t>
      </w:r>
    </w:p>
    <w:p>
      <w:pPr>
        <w:numPr>
          <w:ilvl w:val="0"/>
          <w:numId w:val="10"/>
        </w:numPr>
        <w:spacing w:after="80" w:line="300" w:lineRule="auto"/>
      </w:pPr>
      <w:r>
        <w:t>No Isolation Forest or deep-learning anomaly detector; the statistical baseline is the explainable proof.</w:t>
      </w:r>
    </w:p>
    <w:p>
      <w:pPr>
        <w:numPr>
          <w:ilvl w:val="0"/>
          <w:numId w:val="10"/>
        </w:numPr>
        <w:spacing w:after="80" w:line="300" w:lineRule="auto"/>
      </w:pPr>
      <w:r>
        <w:t>No fishing-zone, cyclone, wave-height, multilingual, mobile-app, or WhatsApp integrations during the core build.</w:t>
      </w:r>
    </w:p>
    <w:p>
      <w:pPr>
        <w:numPr>
          <w:ilvl w:val="0"/>
          <w:numId w:val="10"/>
        </w:numPr>
        <w:spacing w:after="80" w:line="300" w:lineRule="auto"/>
      </w:pPr>
      <w:r>
        <w:t>No unsupported claim that the solution is first, unique, production-ready, or validated until evidence exists.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5000"/>
        <w:gridCol w:w="346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Requirement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FR-01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Parse a free-text query into query type, location, parameter, dates, and anomaly intent.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Recorded parser output for the evaluation set.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FR-02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a deterministic fallback after LLM timeout, failure, or malformed output.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Forced-timeout test returns parser_used=rule_based.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FR-03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Retrieve profile, regional-average, and time-series data from the prepared subset.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One passing fixture and one real pinned query for each type.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FR-04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Compute z-score anomaly context only from the production baseline.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Unit tests cover thresholds and zero/insufficient standard deviation.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FR-05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Return profile count, search radius, and low/medium/high confidence.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Contract test verifies every data response.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FR-06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Suppress colored severity when confidence is low.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Frontend component tests cover all confidence tiers.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FR-07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Explain source, aggregation, radius, time range, baseline, and proxy caveats.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Pinned responses contain complete explanation text.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FR-08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Render a chart and map pin appropriate to the returned query type.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Projector-size browser check for three pinned queries.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FR-09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Convert failures into typed, friendly messages without internal traces.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End-to-end tests for no_data, parse_error, general_error.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6. Simple technical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Recommended stack: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React + TypeScript frontend; FastAPI backend; pandas/xarray preprocessing; Parquet read model; NumPy z-score analytics; Plotly.js and Leaflet; one structured-output LLM API with a Python fallback parser; one container deployment.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3000"/>
        <w:gridCol w:w="4760"/>
      </w:tblGrid>
      <w:tr>
        <w:trPr>
          <w:cantSplit/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Layer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Choice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Reason for a small team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Web UI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React + TypeScript (Vite)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Fast component development and typed API handling.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Charts/maps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Plotly.js + Leaflet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Mature, editable visualizations with little custom graphics code.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FastAPI + Pydantic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Small endpoint surface and explicit request/response validation.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Offline data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Python, pandas, xarray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support for NetCDF preprocessing and tabular checks.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Serving data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Parquet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Fast local reads, no database setup or maintenance.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Anomaly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NumPy z-score + precomputed baselines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Explainable, testable, and cheap at request time.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Query parsing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One LLM API + rule fallback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Natural language without making the demo depend on the network.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Deployment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Single container / Hugging Face Space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One artifact to start and verify.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6.1 Request flow</w:t>
      </w:r>
    </w:p>
    <w:p>
      <w:pPr>
        <w:numPr>
          <w:ilvl w:val="0"/>
          <w:numId w:val="12"/>
        </w:numPr>
        <w:spacing w:after="80" w:line="300" w:lineRule="auto"/>
      </w:pPr>
      <w:r>
        <w:t>The browser sends POST /chat with one query string.</w:t>
      </w:r>
    </w:p>
    <w:p>
      <w:pPr>
        <w:numPr>
          <w:ilvl w:val="0"/>
          <w:numId w:val="12"/>
        </w:numPr>
        <w:spacing w:after="80" w:line="300" w:lineRule="auto"/>
      </w:pPr>
      <w:r>
        <w:t>The backend asks the selected LLM for a strict JSON parse and validates the result with Pydantic.</w:t>
      </w:r>
    </w:p>
    <w:p>
      <w:pPr>
        <w:numPr>
          <w:ilvl w:val="0"/>
          <w:numId w:val="12"/>
        </w:numPr>
        <w:spacing w:after="80" w:line="300" w:lineRule="auto"/>
      </w:pPr>
      <w:r>
        <w:t>On timeout, malformed JSON, or provider failure, the rule parser extracts supported cities, coordinates, dates, parameters, and query type.</w:t>
      </w:r>
    </w:p>
    <w:p>
      <w:pPr>
        <w:numPr>
          <w:ilvl w:val="0"/>
          <w:numId w:val="12"/>
        </w:numPr>
        <w:spacing w:after="80" w:line="300" w:lineRule="auto"/>
      </w:pPr>
      <w:r>
        <w:t>The data service filters the local Parquet data by space, time, depth, and parameter, then prepares chart-ready arrays.</w:t>
      </w:r>
    </w:p>
    <w:p>
      <w:pPr>
        <w:numPr>
          <w:ilvl w:val="0"/>
          <w:numId w:val="12"/>
        </w:numPr>
        <w:spacing w:after="80" w:line="300" w:lineRule="auto"/>
      </w:pPr>
      <w:r>
        <w:t>If anomaly intent is present and the baseline is sufficient, the analytics service computes a z-score against the correct region and calendar month.</w:t>
      </w:r>
    </w:p>
    <w:p>
      <w:pPr>
        <w:numPr>
          <w:ilvl w:val="0"/>
          <w:numId w:val="12"/>
        </w:numPr>
        <w:spacing w:after="80" w:line="300" w:lineRule="auto"/>
      </w:pPr>
      <w:r>
        <w:t>The response composer adds plain-language method, source, proxy caveat, and data-sufficiency information.</w:t>
      </w:r>
    </w:p>
    <w:p>
      <w:pPr>
        <w:numPr>
          <w:ilvl w:val="0"/>
          <w:numId w:val="12"/>
        </w:numPr>
        <w:spacing w:after="80" w:line="300" w:lineRule="auto"/>
      </w:pPr>
      <w:r>
        <w:t>The frontend renders the summary, chart, map, anomaly state, explanation, and fallback disclosure as one complete result.</w:t>
      </w:r>
    </w:p>
    <w:p>
      <w:pPr>
        <w:pStyle w:val="Heading1"/>
      </w:pPr>
      <w:r>
        <w:t>7. Component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800"/>
        <w:gridCol w:w="36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Component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Owns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Must not own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Chat page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Input state, suggested queries, request state, result layout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Scientific calculations or parsing rules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Parser service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LLM call, schema validation, timeout, fallback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 access or UI wording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 repository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Spatial/temporal/depth filters and aggregations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Anomaly labels or HTTP concerns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Baseline builder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Production and validation mean/std/count tables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request handling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Anomaly service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z-score, thresholds, insufficient-baseline outcome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UI color decisions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Explanation service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Template-based method and caveat text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Unverified claims or invented values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API route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Orchestration, response validation, typed error mapping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Heavy data preprocessing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Anomaly badge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Confidence-aware visual state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Recomputing confidence or the anomaly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8. Data design and governance</w:t>
      </w:r>
    </w:p>
    <w:p>
      <w:pPr>
        <w:pStyle w:val="Heading2"/>
      </w:pPr>
      <w:r>
        <w:t>8.1 Prepared profile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1900"/>
        <w:gridCol w:w="53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float_id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Stable float identifier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time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UTC datetime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and normalized during preprocessing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lat / lon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float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Degrees; reject out-of-range values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depth_m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float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Non-negative; derive consistently from pressure if needed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temperature_c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float/null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adjusted value when available and acceptable QC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salinity_psu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float/null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adjusted value when available and acceptable QC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qc flags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string/int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Retain provenance and exclude unacceptable measurements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8.2 Baseline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region_id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Named region or deterministic spatial cell used consistently at build and request time.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month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Calendar month 1-12.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parameter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temperature, salinity, or shallow SST proxy.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baseline_type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production or validation; never interchangeable.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period_start / period_end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Exact years used so the explanation can state the baseline honestly.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mean / std / 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Statistics and supporting profile count.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dataset_version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Hash or release label for reproducibility.</w:t>
            </w:r>
          </w:p>
        </w:tc>
      </w:tr>
    </w:tbl>
    <w:p>
      <w:pPr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Data integrity rule: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Keep the 2015-2018 validation baseline separate from the full-history production baseline. Validation tests a known event; production serves user queries. Mixing them invalidates both the evidence and the live explanation.</w:t>
            </w:r>
          </w:p>
        </w:tc>
      </w:tr>
    </w:tbl>
    <w:p>
      <w:pPr>
        <w:spacing w:after="40"/>
      </w:pPr>
    </w:p>
    <w:p>
      <w:pPr>
        <w:pStyle w:val="Heading1"/>
      </w:pPr>
      <w:r>
        <w:t>9. API contract</w:t>
      </w:r>
    </w:p>
    <w:p>
      <w:pPr>
        <w:pStyle w:val="Heading2"/>
      </w:pPr>
      <w:r>
        <w:t>9.1 Request</w:t>
      </w:r>
    </w:p>
    <w:p>
      <w:r>
        <w:rPr>
          <w:rFonts w:ascii="Courier New" w:hAnsi="Courier New"/>
          <w:b w:val="0"/>
          <w:i w:val="0"/>
          <w:color w:val="0B2545"/>
          <w:sz w:val="19"/>
        </w:rPr>
        <w:t>{"query": "Plot SST time series at 19N, 72.8E for 2015-2024 and tell me if it is unusual"}</w:t>
      </w:r>
    </w:p>
    <w:p>
      <w:pPr>
        <w:pStyle w:val="Heading2"/>
      </w:pPr>
      <w:r>
        <w:t>9.2 Successful response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00"/>
        <w:gridCol w:w="1400"/>
        <w:gridCol w:w="5160"/>
      </w:tblGrid>
      <w:tr>
        <w:trPr>
          <w:cantSplit/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summary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Plain-language restatement of what was answered.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query_type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profile, regional_average, or time_series.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params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Validated location, parameter, and date window.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Chart-ready arrays or aggregate value.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anomaly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Conditional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Score, label, baseline metadata, and explanation.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answer_explanation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Source, method, radius, time range, and proxy caveat.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data_sufficiency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Profile count, radius, and confidence.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parser_used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llm or rule_based.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source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Dataset label such as INCOIS ARGO.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9.3 Error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540"/>
        <w:gridCol w:w="392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</w:t>
            </w:r>
          </w:p>
        </w:tc>
        <w:tc>
          <w:tcPr>
            <w:tcW w:type="dxa" w:w="3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When</w:t>
            </w:r>
          </w:p>
        </w:tc>
        <w:tc>
          <w:tcPr>
            <w:tcW w:type="dxa" w:w="3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User-facing guidance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parse_error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Both parsers cannot create a valid supported query.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Show a working example and request a location/date/parameter.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no_data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query is valid but no acceptable observations match.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Suggest a wider radius or different period.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general_error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Unexpected internal failure.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Invite retry/rephrase; log details server-side only.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10. Query parsing</w:t>
      </w:r>
    </w:p>
    <w:p>
      <w:pPr>
        <w:numPr>
          <w:ilvl w:val="0"/>
          <w:numId w:val="10"/>
        </w:numPr>
        <w:spacing w:after="80" w:line="300" w:lineRule="auto"/>
      </w:pPr>
      <w:r>
        <w:t>Ask the LLM to return only the supported schema. Reject extra query types and unknown parameters.</w:t>
      </w:r>
    </w:p>
    <w:p>
      <w:pPr>
        <w:numPr>
          <w:ilvl w:val="0"/>
          <w:numId w:val="10"/>
        </w:numPr>
        <w:spacing w:after="80" w:line="300" w:lineRule="auto"/>
      </w:pPr>
      <w:r>
        <w:t>Set a short timeout and allow only one retry if it does not threaten demo latency.</w:t>
      </w:r>
    </w:p>
    <w:p>
      <w:pPr>
        <w:numPr>
          <w:ilvl w:val="0"/>
          <w:numId w:val="10"/>
        </w:numPr>
        <w:spacing w:after="80" w:line="300" w:lineRule="auto"/>
      </w:pPr>
      <w:r>
        <w:t>Validate latitude, longitude, dates, enum values, and date order before data access.</w:t>
      </w:r>
    </w:p>
    <w:p>
      <w:pPr>
        <w:numPr>
          <w:ilvl w:val="0"/>
          <w:numId w:val="10"/>
        </w:numPr>
        <w:spacing w:after="80" w:line="300" w:lineRule="auto"/>
      </w:pPr>
      <w:r>
        <w:t>The fallback parser supports explicit coordinates, a small Indian coastal city gazetteer, one year or year ranges, parameter keywords, and anomaly intent keywords.</w:t>
      </w:r>
    </w:p>
    <w:p>
      <w:pPr>
        <w:numPr>
          <w:ilvl w:val="0"/>
          <w:numId w:val="10"/>
        </w:numPr>
        <w:spacing w:after="80" w:line="300" w:lineRule="auto"/>
      </w:pPr>
      <w:r>
        <w:t>Always return parser_used. The UI displays a subtle simplified-matching disclosure for fallback results.</w:t>
      </w:r>
    </w:p>
    <w:p>
      <w:pPr>
        <w:numPr>
          <w:ilvl w:val="0"/>
          <w:numId w:val="10"/>
        </w:numPr>
        <w:spacing w:after="80" w:line="300" w:lineRule="auto"/>
      </w:pPr>
      <w:r>
        <w:t>Measure parser accuracy on a labeled 20-25 query set and report the observed value, not an assumed target.</w:t>
      </w:r>
    </w:p>
    <w:p>
      <w:pPr>
        <w:pStyle w:val="Heading1"/>
      </w:pPr>
      <w:r>
        <w:t>11. Anomaly and confidence logic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Formula: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z = (current aggregated value - baseline mean) / baseline standard deviation. Skip scoring when the baseline standard deviation is zero or supporting data is insufficient.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2400"/>
        <w:gridCol w:w="4560"/>
      </w:tblGrid>
      <w:tr>
        <w:trPr>
          <w:cantSplit/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Condition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Label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Presentation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abs(z) &lt; 1.5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normal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Green only when response confidence is medium or high.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1.5 &lt;= abs(z) &lt; 2.5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mild positive/negative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Amber; add provisional qualifier for medium confidence.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abs(z) &gt;= 2.5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strong positive/negative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Red; still explain baseline and sample size.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1-5 matching profiles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low confidence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Neutral 'not enough data to assess'; suppress severity color.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6-20 matching profiles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medium confidence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Show severity as provisional.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21+ matching profiles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high confidence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Show severity at full visual weight.</w:t>
            </w:r>
          </w:p>
        </w:tc>
      </w:tr>
    </w:tbl>
    <w:p>
      <w:pPr>
        <w:spacing w:before="80" w:after="80"/>
      </w:pPr>
    </w:p>
    <w:p>
      <w:r>
        <w:t>These thresholds are project policy, not a universal scientific standard. The final implementation must state them in documentation and verify that they match the data density of the selected subset.</w:t>
      </w:r>
    </w:p>
    <w:p>
      <w:pPr>
        <w:pStyle w:val="Heading1"/>
      </w:pPr>
      <w:r>
        <w:t>12. User experience and accessibility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State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What the user sees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Empty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One input, four suggested questions, short statement of supported data and regions.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Loading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Disabled submit and a simple progress state; no partial result without its confidence context.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Success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Summary, chart, map, anomaly state when requested, method explanation, and data sufficiency.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Fallback parser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normal result plus a subtle simplified-matching disclosure.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Clear reason and a suggestion to broaden the location or time range.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Parse error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 supported example query; no technical error details.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General error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 safe retry/rephrase message.</w:t>
            </w:r>
          </w:p>
        </w:tc>
      </w:tr>
    </w:tbl>
    <w:p>
      <w:pPr>
        <w:spacing w:before="80" w:after="80"/>
      </w:pPr>
    </w:p>
    <w:p>
      <w:pPr>
        <w:numPr>
          <w:ilvl w:val="0"/>
          <w:numId w:val="10"/>
        </w:numPr>
        <w:spacing w:after="80" w:line="300" w:lineRule="auto"/>
      </w:pPr>
      <w:r>
        <w:t>Use text and icons in addition to anomaly colors.</w:t>
      </w:r>
    </w:p>
    <w:p>
      <w:pPr>
        <w:numPr>
          <w:ilvl w:val="0"/>
          <w:numId w:val="10"/>
        </w:numPr>
        <w:spacing w:after="80" w:line="300" w:lineRule="auto"/>
      </w:pPr>
      <w:r>
        <w:t>Make input, query chips, submit, and chart controls keyboard accessible.</w:t>
      </w:r>
    </w:p>
    <w:p>
      <w:pPr>
        <w:numPr>
          <w:ilvl w:val="0"/>
          <w:numId w:val="10"/>
        </w:numPr>
        <w:spacing w:after="80" w:line="300" w:lineRule="auto"/>
      </w:pPr>
      <w:r>
        <w:t>Provide a text summary that conveys the same conclusion as the chart.</w:t>
      </w:r>
    </w:p>
    <w:p>
      <w:pPr>
        <w:numPr>
          <w:ilvl w:val="0"/>
          <w:numId w:val="10"/>
        </w:numPr>
        <w:spacing w:after="80" w:line="300" w:lineRule="auto"/>
      </w:pPr>
      <w:r>
        <w:t>Use responsive width and test the exact laptop/projector setup used for judging.</w:t>
      </w:r>
    </w:p>
    <w:p>
      <w:pPr>
        <w:pStyle w:val="Heading1"/>
      </w:pPr>
      <w:r>
        <w:t>13. Validation and testing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860"/>
        <w:gridCol w:w="3000"/>
      </w:tblGrid>
      <w:tr>
        <w:trPr>
          <w:cantSplit/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Level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Minimum checks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Evidence artifact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Preprocessing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Schema, ranges, timestamps, QC filtering, duplicate profiles, missing values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 validation report and sample rows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Repository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Spatial, time, depth filters and all three aggregations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Unit tests against deterministic fixtures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Parser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Valid, ambiguous, malformed, city, coordinate, missing-date queries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Labeled eval set and measured accuracy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Anomaly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Threshold boundaries, negative values, zero std, insufficient baseline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Unit tests and validation script output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Response schema, timeout fallback, typed errors, no stack traces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Contract/integration test report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 confidence tiers, chart types, empty/loading/error/fallback states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Component tests plus browser screenshots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Demo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Three pinned queries repeated on presentation network and machine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20-run checklist and cached fallback</w:t>
            </w:r>
          </w:p>
        </w:tc>
      </w:tr>
    </w:tbl>
    <w:p>
      <w:pPr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Pitch evidence gate: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The heatwave result and parser accuracy may enter the presentation only after the exact command, dataset version, output, date, and owner are recorded. A negative result is acceptable; a placeholder result is not.</w:t>
            </w:r>
          </w:p>
        </w:tc>
      </w:tr>
    </w:tbl>
    <w:p>
      <w:pPr>
        <w:spacing w:after="40"/>
      </w:pPr>
    </w:p>
    <w:p>
      <w:pPr>
        <w:pStyle w:val="Heading1"/>
      </w:pPr>
      <w:r>
        <w:t>14. Deployment and demo runbook</w:t>
      </w:r>
    </w:p>
    <w:p>
      <w:pPr>
        <w:numPr>
          <w:ilvl w:val="0"/>
          <w:numId w:val="13"/>
        </w:numPr>
        <w:spacing w:after="80" w:line="300" w:lineRule="auto"/>
      </w:pPr>
      <w:r>
        <w:t>Build and version the processed Parquet files and baseline tables before deployment.</w:t>
      </w:r>
    </w:p>
    <w:p>
      <w:pPr>
        <w:numPr>
          <w:ilvl w:val="0"/>
          <w:numId w:val="13"/>
        </w:numPr>
        <w:spacing w:after="80" w:line="300" w:lineRule="auto"/>
      </w:pPr>
      <w:r>
        <w:t>Build the React frontend and serve it with the FastAPI application from one container where practical.</w:t>
      </w:r>
    </w:p>
    <w:p>
      <w:pPr>
        <w:numPr>
          <w:ilvl w:val="0"/>
          <w:numId w:val="13"/>
        </w:numPr>
        <w:spacing w:after="80" w:line="300" w:lineRule="auto"/>
      </w:pPr>
      <w:r>
        <w:t>Store the selected LLM key only in the hosting platform secret settings; never in the deck, video, or frontend bundle.</w:t>
      </w:r>
    </w:p>
    <w:p>
      <w:pPr>
        <w:numPr>
          <w:ilvl w:val="0"/>
          <w:numId w:val="13"/>
        </w:numPr>
        <w:spacing w:after="80" w:line="300" w:lineRule="auto"/>
      </w:pPr>
      <w:r>
        <w:t>Run a health check and all three pinned queries after each deployment.</w:t>
      </w:r>
    </w:p>
    <w:p>
      <w:pPr>
        <w:numPr>
          <w:ilvl w:val="0"/>
          <w:numId w:val="13"/>
        </w:numPr>
        <w:spacing w:after="80" w:line="300" w:lineRule="auto"/>
      </w:pPr>
      <w:r>
        <w:t>Capture the exact successful JSON and screenshots for offline fallback.</w:t>
      </w:r>
    </w:p>
    <w:p>
      <w:pPr>
        <w:numPr>
          <w:ilvl w:val="0"/>
          <w:numId w:val="13"/>
        </w:numPr>
        <w:spacing w:after="80" w:line="300" w:lineRule="auto"/>
      </w:pPr>
      <w:r>
        <w:t>Before judging, open the app, warm the service, verify the network, and keep the cached demo ready in a separate tab.</w:t>
      </w:r>
    </w:p>
    <w:p>
      <w:pPr>
        <w:numPr>
          <w:ilvl w:val="0"/>
          <w:numId w:val="13"/>
        </w:numPr>
        <w:spacing w:after="80" w:line="300" w:lineRule="auto"/>
      </w:pPr>
      <w:r>
        <w:t>If the live LLM fails, allow the rule parser to continue and explain the disclosure honestly.</w:t>
      </w:r>
    </w:p>
    <w:p>
      <w:pPr>
        <w:pStyle w:val="Heading1"/>
      </w:pPr>
      <w:r>
        <w:t>15. Security, privacy, and responsible claims</w:t>
      </w:r>
    </w:p>
    <w:p>
      <w:pPr>
        <w:numPr>
          <w:ilvl w:val="0"/>
          <w:numId w:val="10"/>
        </w:numPr>
        <w:spacing w:after="80" w:line="300" w:lineRule="auto"/>
      </w:pPr>
      <w:r>
        <w:t>The first release stores no accounts, personal profiles, or chat history.</w:t>
      </w:r>
    </w:p>
    <w:p>
      <w:pPr>
        <w:numPr>
          <w:ilvl w:val="0"/>
          <w:numId w:val="10"/>
        </w:numPr>
        <w:spacing w:after="80" w:line="300" w:lineRule="auto"/>
      </w:pPr>
      <w:r>
        <w:t>Treat every query as untrusted text; do not execute it, use it as a file path, or insert it into generated code.</w:t>
      </w:r>
    </w:p>
    <w:p>
      <w:pPr>
        <w:numPr>
          <w:ilvl w:val="0"/>
          <w:numId w:val="10"/>
        </w:numPr>
        <w:spacing w:after="80" w:line="300" w:lineRule="auto"/>
      </w:pPr>
      <w:r>
        <w:t>Keep API keys server-side and remove secrets from screenshots and screen recordings.</w:t>
      </w:r>
    </w:p>
    <w:p>
      <w:pPr>
        <w:numPr>
          <w:ilvl w:val="0"/>
          <w:numId w:val="10"/>
        </w:numPr>
        <w:spacing w:after="80" w:line="300" w:lineRule="auto"/>
      </w:pPr>
      <w:r>
        <w:t>Return sanitized error messages and keep detailed logs private.</w:t>
      </w:r>
    </w:p>
    <w:p>
      <w:pPr>
        <w:numPr>
          <w:ilvl w:val="0"/>
          <w:numId w:val="10"/>
        </w:numPr>
        <w:spacing w:after="80" w:line="300" w:lineRule="auto"/>
      </w:pPr>
      <w:r>
        <w:t>Name data sources and transformations; do not imply satellite SST when using a shallow ARGO proxy.</w:t>
      </w:r>
    </w:p>
    <w:p>
      <w:pPr>
        <w:numPr>
          <w:ilvl w:val="0"/>
          <w:numId w:val="10"/>
        </w:numPr>
        <w:spacing w:after="80" w:line="300" w:lineRule="auto"/>
      </w:pPr>
      <w:r>
        <w:t>Use 'target', 'planned', or 'to be validated' for metrics not yet measured.</w:t>
      </w:r>
    </w:p>
    <w:p>
      <w:pPr>
        <w:numPr>
          <w:ilvl w:val="0"/>
          <w:numId w:val="10"/>
        </w:numPr>
        <w:spacing w:after="80" w:line="300" w:lineRule="auto"/>
      </w:pPr>
      <w:r>
        <w:t>For first-round materials, use only Team ID, Team Name, and Member 1/2 labels; do not reveal personal or institutional identity.</w:t>
      </w:r>
    </w:p>
    <w:p>
      <w:pPr>
        <w:pStyle w:val="Heading1"/>
      </w:pPr>
      <w:r>
        <w:t>16. Key risks and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3200"/>
        <w:gridCol w:w="3860"/>
      </w:tblGrid>
      <w:tr>
        <w:trPr>
          <w:cantSplit/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Risk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Trigger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ARGO ingestion delay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query-ready subset by the agreed checkpoint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Switch to a pre-vetted subset that covers the pinned queries; label it internally.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Sparse observations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Low matching profile count or baseline 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Increase radius only within documented limits or return low confidence; never force a colored anomaly.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LLM instability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Timeout, quota, malformed JSON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deterministic fallback; avoid adding a second provider during the sprint.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Validation misses known event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region exceeds the defined threshold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Report honestly, inspect data/region, or select another real event under a fixed time box.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 overrun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Integration incomplete by the hardening checkpoint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Cut regional average first, then map interactivity; keep profile and time-series+anomaly.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Unsupported claims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Metric has no stored run artifact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Remove from deck/video or label as a target.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17. Definition of done</w:t>
      </w:r>
    </w:p>
    <w:p>
      <w:pPr>
        <w:numPr>
          <w:ilvl w:val="0"/>
          <w:numId w:val="10"/>
        </w:numPr>
        <w:spacing w:after="80" w:line="300" w:lineRule="auto"/>
      </w:pPr>
      <w:r>
        <w:t>The source and license/provenance of the chosen ARGO subset are recorded.</w:t>
      </w:r>
    </w:p>
    <w:p>
      <w:pPr>
        <w:numPr>
          <w:ilvl w:val="0"/>
          <w:numId w:val="10"/>
        </w:numPr>
        <w:spacing w:after="80" w:line="300" w:lineRule="auto"/>
      </w:pPr>
      <w:r>
        <w:t>Production and validation baselines are versioned separately.</w:t>
      </w:r>
    </w:p>
    <w:p>
      <w:pPr>
        <w:numPr>
          <w:ilvl w:val="0"/>
          <w:numId w:val="10"/>
        </w:numPr>
        <w:spacing w:after="80" w:line="300" w:lineRule="auto"/>
      </w:pPr>
      <w:r>
        <w:t>All three query types work against real or clearly labeled fallback data.</w:t>
      </w:r>
    </w:p>
    <w:p>
      <w:pPr>
        <w:numPr>
          <w:ilvl w:val="0"/>
          <w:numId w:val="10"/>
        </w:numPr>
        <w:spacing w:after="80" w:line="300" w:lineRule="auto"/>
      </w:pPr>
      <w:r>
        <w:t>Every successful response includes method and data-sufficiency context.</w:t>
      </w:r>
    </w:p>
    <w:p>
      <w:pPr>
        <w:numPr>
          <w:ilvl w:val="0"/>
          <w:numId w:val="10"/>
        </w:numPr>
        <w:spacing w:after="80" w:line="300" w:lineRule="auto"/>
      </w:pPr>
      <w:r>
        <w:t>All failure paths are friendly and reveal no internal details.</w:t>
      </w:r>
    </w:p>
    <w:p>
      <w:pPr>
        <w:numPr>
          <w:ilvl w:val="0"/>
          <w:numId w:val="10"/>
        </w:numPr>
        <w:spacing w:after="80" w:line="300" w:lineRule="auto"/>
      </w:pPr>
      <w:r>
        <w:t>The parser eval and anomaly validation outputs are recorded without edited numbers.</w:t>
      </w:r>
    </w:p>
    <w:p>
      <w:pPr>
        <w:numPr>
          <w:ilvl w:val="0"/>
          <w:numId w:val="10"/>
        </w:numPr>
        <w:spacing w:after="80" w:line="300" w:lineRule="auto"/>
      </w:pPr>
      <w:r>
        <w:t>The web experience has been checked on the presentation laptop at projector scale.</w:t>
      </w:r>
    </w:p>
    <w:p>
      <w:pPr>
        <w:numPr>
          <w:ilvl w:val="0"/>
          <w:numId w:val="10"/>
        </w:numPr>
        <w:spacing w:after="80" w:line="300" w:lineRule="auto"/>
      </w:pPr>
      <w:r>
        <w:t>Three pinned queries have 20 successful rehearsals or a documented failure rate and mitigation.</w:t>
      </w:r>
    </w:p>
    <w:p>
      <w:pPr>
        <w:numPr>
          <w:ilvl w:val="0"/>
          <w:numId w:val="10"/>
        </w:numPr>
        <w:spacing w:after="80" w:line="300" w:lineRule="auto"/>
      </w:pPr>
      <w:r>
        <w:t>The slide deck contains exactly nine slides, traceable citations, and no personal/institutional identity.</w:t>
      </w:r>
    </w:p>
    <w:p>
      <w:pPr>
        <w:numPr>
          <w:ilvl w:val="0"/>
          <w:numId w:val="10"/>
        </w:numPr>
        <w:spacing w:after="80" w:line="300" w:lineRule="auto"/>
      </w:pPr>
      <w:r>
        <w:t>A cached offline demonstration exists and contains no credentials or private data.</w:t>
      </w:r>
    </w:p>
    <w:p>
      <w:pPr>
        <w:pStyle w:val="Heading1"/>
      </w:pPr>
      <w:r>
        <w:t>18. Open decisions for the team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4560"/>
        <w:gridCol w:w="2400"/>
      </w:tblGrid>
      <w:tr>
        <w:trPr>
          <w:cantSplit/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Recommended default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 / deadline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LLM provider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Choose one after a quota and latency test; keep the interface provider-neutral.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Tech lead, before parser integration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Region definitions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explicit documented boxes or cells that match baseline generation.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 + anomaly owners, before preprocessing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Error HTTP status policy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standard HTTP status codes with the same typed error body.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Backend owner, before contract freeze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Chip behavior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Populate input first; allow the presenter to submit deliberately.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Frontend owner, before UI polish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Fallback subset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Prepare it before the main ingestion deadline and ensure all pinned queries are covered.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 owner, before the sprint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19. References and source pack</w:t>
      </w:r>
    </w:p>
    <w:p>
      <w:pPr>
        <w:numPr>
          <w:ilvl w:val="0"/>
          <w:numId w:val="14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[E1] Argo Program. 'Argo data sources.' https://argo.ucsd.edu/data/ (accessed 14 August 2026).</w:t>
      </w:r>
    </w:p>
    <w:p>
      <w:pPr>
        <w:numPr>
          <w:ilvl w:val="0"/>
          <w:numId w:val="14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[E2] Argo Program. 'How to use Argo profile files.' https://argo.ucsd.edu/data/how-to-use-argo-files/ (accessed 14 August 2026).</w:t>
      </w:r>
    </w:p>
    <w:p>
      <w:pPr>
        <w:numPr>
          <w:ilvl w:val="0"/>
          <w:numId w:val="14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[E3] INCOIS. 'INDIAN ARGO Floats Data' ERDDAP dataset. https://erddap.incois.gov.in/erddap/tabledap/Indian_ARGO_Floats.html (accessed 14 August 2026).</w:t>
      </w:r>
    </w:p>
    <w:p>
      <w:pPr>
        <w:numPr>
          <w:ilvl w:val="0"/>
          <w:numId w:val="14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[E4] Euro-Argo RISE. 'Report on new products - D7.14 v1.1.' https://www.euro-argo.eu/content/download/157270/file/D7.14_v1.1.pdf (accessed 14 August 2026).</w:t>
      </w:r>
    </w:p>
    <w:p>
      <w:pPr>
        <w:numPr>
          <w:ilvl w:val="0"/>
          <w:numId w:val="14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[E5] Kelley, D. E. et al. (2021). 'argoFloats: An R Package for Analyzing Argo Data.' Frontiers in Marine Science 8:635922. https://doi.org/10.3389/fmars.2021.635922.</w:t>
      </w:r>
    </w:p>
    <w:p>
      <w:pPr>
        <w:numPr>
          <w:ilvl w:val="0"/>
          <w:numId w:val="14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[E6] Holbrook, N. J. et al. (2019). 'A global assessment of marine heatwaves and their drivers.' Nature Communications 10, 2624. https://doi.org/10.1038/s41467-019-10206-z.</w:t>
      </w:r>
    </w:p>
    <w:p>
      <w:pPr>
        <w:numPr>
          <w:ilvl w:val="0"/>
          <w:numId w:val="14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Project source pack supplied by the team: prd.md, architecture.md, design.md, feature.md, phases.md, todo.md, and FloatChat-Lite_Master_v3.md.</w:t>
      </w:r>
    </w:p>
    <w:p>
      <w:pPr>
        <w:numPr>
          <w:ilvl w:val="0"/>
          <w:numId w:val="14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Submission rules supplied by the team: First_Round_Shortlisting_Rubric_PPT_Video_Guidelines.pdf and SIH Internal Template.pptx.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5B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/>
        <w:i w:val="0"/>
        <w:color w:val="5B6573"/>
        <w:sz w:val="18"/>
      </w:rPr>
      <w:t>FloatChat-Lite |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