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w:cs="Times" w:eastAsia="Times" w:hAnsi="Times"/>
        </w:rPr>
      </w:pPr>
      <w:r w:rsidDel="00000000" w:rsidR="00000000" w:rsidRPr="00000000">
        <w:rPr>
          <w:rFonts w:ascii="Times" w:cs="Times" w:eastAsia="Times" w:hAnsi="Times"/>
          <w:rtl w:val="0"/>
        </w:rPr>
        <w:t xml:space="preserve">Dhruv Patel</w:t>
      </w:r>
    </w:p>
    <w:p w:rsidR="00000000" w:rsidDel="00000000" w:rsidP="00000000" w:rsidRDefault="00000000" w:rsidRPr="00000000" w14:paraId="00000002">
      <w:pPr>
        <w:spacing w:line="480" w:lineRule="auto"/>
        <w:ind w:left="0" w:firstLine="0"/>
        <w:rPr>
          <w:rFonts w:ascii="Times" w:cs="Times" w:eastAsia="Times" w:hAnsi="Times"/>
        </w:rPr>
      </w:pPr>
      <w:r w:rsidDel="00000000" w:rsidR="00000000" w:rsidRPr="00000000">
        <w:rPr>
          <w:rFonts w:ascii="Times" w:cs="Times" w:eastAsia="Times" w:hAnsi="Times"/>
          <w:rtl w:val="0"/>
        </w:rPr>
        <w:t xml:space="preserve">Final Project Paper</w:t>
      </w:r>
    </w:p>
    <w:p w:rsidR="00000000" w:rsidDel="00000000" w:rsidP="00000000" w:rsidRDefault="00000000" w:rsidRPr="00000000" w14:paraId="00000003">
      <w:pPr>
        <w:spacing w:line="480" w:lineRule="auto"/>
        <w:ind w:left="0" w:firstLine="0"/>
        <w:rPr>
          <w:rFonts w:ascii="Times" w:cs="Times" w:eastAsia="Times" w:hAnsi="Times"/>
        </w:rPr>
      </w:pPr>
      <w:r w:rsidDel="00000000" w:rsidR="00000000" w:rsidRPr="00000000">
        <w:rPr>
          <w:rFonts w:ascii="Times" w:cs="Times" w:eastAsia="Times" w:hAnsi="Times"/>
          <w:rtl w:val="0"/>
        </w:rPr>
        <w:t xml:space="preserve">Prof. Binowski</w:t>
      </w:r>
    </w:p>
    <w:p w:rsidR="00000000" w:rsidDel="00000000" w:rsidP="00000000" w:rsidRDefault="00000000" w:rsidRPr="00000000" w14:paraId="00000004">
      <w:pPr>
        <w:spacing w:line="480" w:lineRule="auto"/>
        <w:ind w:left="0" w:firstLine="0"/>
        <w:rPr>
          <w:rFonts w:ascii="Times" w:cs="Times" w:eastAsia="Times" w:hAnsi="Times"/>
        </w:rPr>
      </w:pPr>
      <w:r w:rsidDel="00000000" w:rsidR="00000000" w:rsidRPr="00000000">
        <w:rPr>
          <w:rFonts w:ascii="Times" w:cs="Times" w:eastAsia="Times" w:hAnsi="Times"/>
          <w:rtl w:val="0"/>
        </w:rPr>
        <w:t xml:space="preserve">Dec 16th, 2024</w:t>
      </w:r>
    </w:p>
    <w:p w:rsidR="00000000" w:rsidDel="00000000" w:rsidP="00000000" w:rsidRDefault="00000000" w:rsidRPr="00000000" w14:paraId="00000005">
      <w:pPr>
        <w:spacing w:line="480" w:lineRule="auto"/>
        <w:ind w:firstLine="720"/>
        <w:rPr>
          <w:rFonts w:ascii="Times" w:cs="Times" w:eastAsia="Times" w:hAnsi="Times"/>
        </w:rPr>
      </w:pPr>
      <w:r w:rsidDel="00000000" w:rsidR="00000000" w:rsidRPr="00000000">
        <w:rPr>
          <w:rFonts w:ascii="Times" w:cs="Times" w:eastAsia="Times" w:hAnsi="Times"/>
          <w:rtl w:val="0"/>
        </w:rPr>
        <w:t xml:space="preserve">The Starbucks beverage dataset offers a wealth of facts that offer insights into client options, product characteristics, and dietary profiles. Through a scientific evaluation using statistics science equipment, this undertaking aimed to uncover key patterns, relationships, and actionable pointers for reinforcing Starbucks' business techniques. They took a look at the applied Jupyter Notebook because the primary platform for interactive statistics exploration and leveraged Python libraries consisting of pandas for information manipulation, in addition to matplotlib and seaborn for visualizations that highlighted important tendencies.</w:t>
      </w:r>
    </w:p>
    <w:p w:rsidR="00000000" w:rsidDel="00000000" w:rsidP="00000000" w:rsidRDefault="00000000" w:rsidRPr="00000000" w14:paraId="00000006">
      <w:pPr>
        <w:spacing w:line="480" w:lineRule="auto"/>
        <w:ind w:firstLine="720"/>
        <w:rPr>
          <w:rFonts w:ascii="Times" w:cs="Times" w:eastAsia="Times" w:hAnsi="Times"/>
        </w:rPr>
      </w:pPr>
      <w:r w:rsidDel="00000000" w:rsidR="00000000" w:rsidRPr="00000000">
        <w:rPr>
          <w:rFonts w:ascii="Times" w:cs="Times" w:eastAsia="Times" w:hAnsi="Times"/>
          <w:rtl w:val="0"/>
        </w:rPr>
        <w:t xml:space="preserve">Several questions guided this evaluation. First, the study sought to perceive the most famous beverage classes. Next, it tested how calorie content material varies throughout beverage sizes and explored the connection among calorie and general fat content material. Finally, it investigated the variation in caffeine content throughout beverage categories. Each of those questions turned into designed to offer a deeper information of patron possibilities and product characteristics, supporting Starbucks refine its offerings and advertising techniques.</w:t>
      </w:r>
    </w:p>
    <w:p w:rsidR="00000000" w:rsidDel="00000000" w:rsidP="00000000" w:rsidRDefault="00000000" w:rsidRPr="00000000" w14:paraId="00000007">
      <w:pPr>
        <w:spacing w:line="480" w:lineRule="auto"/>
        <w:ind w:firstLine="720"/>
        <w:rPr>
          <w:rFonts w:ascii="Times" w:cs="Times" w:eastAsia="Times" w:hAnsi="Times"/>
        </w:rPr>
      </w:pPr>
      <w:r w:rsidDel="00000000" w:rsidR="00000000" w:rsidRPr="00000000">
        <w:rPr>
          <w:rFonts w:ascii="Times" w:cs="Times" w:eastAsia="Times" w:hAnsi="Times"/>
          <w:rtl w:val="0"/>
        </w:rPr>
        <w:t xml:space="preserve">The findings found substantial insights. The most popular beverage classes were Coffee and Classic Espresso Drinks, reflecting consumer choices for flexible and traditional options. Larger beverage sizes, mainly the Venti size, had been located to have drastically higher calorie counts, with indulgent options like Frappuccino Blended Beverages contributing closely to this fashion. Additionally, a sturdy quality correlation between calorie and fat content material change into observed, emphasizing the dietary trade-offs in excessive-calorie liquids. Furthermore, Coffee drinks have been diagnosed as the highest in caffeine content material, catering to clients searching for power boosts, even as Frappuccino Blended Beverages have been relatively decreased in caffeine, appealing to a special demographic.</w:t>
      </w:r>
    </w:p>
    <w:p w:rsidR="00000000" w:rsidDel="00000000" w:rsidP="00000000" w:rsidRDefault="00000000" w:rsidRPr="00000000" w14:paraId="00000008">
      <w:pPr>
        <w:spacing w:line="480" w:lineRule="auto"/>
        <w:ind w:firstLine="720"/>
        <w:rPr>
          <w:rFonts w:ascii="Times" w:cs="Times" w:eastAsia="Times" w:hAnsi="Times"/>
        </w:rPr>
      </w:pPr>
      <w:r w:rsidDel="00000000" w:rsidR="00000000" w:rsidRPr="00000000">
        <w:rPr>
          <w:rFonts w:ascii="Times" w:cs="Times" w:eastAsia="Times" w:hAnsi="Times"/>
          <w:rtl w:val="0"/>
        </w:rPr>
        <w:t xml:space="preserve">These insights informed several recommendations. Starbucks should recognize its advertising and marketing efforts on the popular Coffee and Classic Espresso Drinks classes to align with purchaser alternatives. Introducing more low-calorie options in larger sizes could entice fitness-aware customers whilst keeping range. Highlighting the power-boosting advantages of Coffee drinks may want to further appeal to productivity-pushed customers. Additionally, providing clear dietary labeling for high-calorie beverages, including Frappuccinos, could assist clients make knowledgeable selections and beef up Starbucks’ dedication to transparency.</w:t>
      </w:r>
    </w:p>
    <w:p w:rsidR="00000000" w:rsidDel="00000000" w:rsidP="00000000" w:rsidRDefault="00000000" w:rsidRPr="00000000" w14:paraId="00000009">
      <w:pPr>
        <w:spacing w:line="480" w:lineRule="auto"/>
        <w:ind w:firstLine="720"/>
        <w:rPr>
          <w:rFonts w:ascii="Times" w:cs="Times" w:eastAsia="Times" w:hAnsi="Times"/>
        </w:rPr>
      </w:pPr>
      <w:r w:rsidDel="00000000" w:rsidR="00000000" w:rsidRPr="00000000">
        <w:rPr>
          <w:rFonts w:ascii="Times" w:cs="Times" w:eastAsia="Times" w:hAnsi="Times"/>
          <w:rtl w:val="0"/>
        </w:rPr>
        <w:t xml:space="preserve">While the contemporary evaluation furnished precious findings, several areas for future exploration exist. Seasonal developments in beverage sales could be analyzed to become aware of possibilities for limited-time promotions or special services tailored to specific instances of the year. Examining how patron alternatives range through vicinity or demographic groups ought to manually localized advertising strategies and product development. Additionally, investigating the effect of customizations, which include milk alternatives or syrup alternatives, on nutritional content material and consumer pride may want to offer in addition insights into purchaser behavior and choices.</w:t>
      </w:r>
    </w:p>
    <w:p w:rsidR="00000000" w:rsidDel="00000000" w:rsidP="00000000" w:rsidRDefault="00000000" w:rsidRPr="00000000" w14:paraId="0000000A">
      <w:pPr>
        <w:spacing w:line="480" w:lineRule="auto"/>
        <w:ind w:firstLine="720"/>
        <w:rPr>
          <w:rFonts w:ascii="Times" w:cs="Times" w:eastAsia="Times" w:hAnsi="Times"/>
        </w:rPr>
      </w:pPr>
      <w:r w:rsidDel="00000000" w:rsidR="00000000" w:rsidRPr="00000000">
        <w:rPr>
          <w:rFonts w:ascii="Times" w:cs="Times" w:eastAsia="Times" w:hAnsi="Times"/>
          <w:rtl w:val="0"/>
        </w:rPr>
        <w:t xml:space="preserve">In conclusion, the Starbucks beverage dataset analysis highlights the importance of facts-driven decision-making in understanding patron behavior and optimizing product offerings. By specializing in famous categories, addressing fitness-conscious customer wishes, and enhancing transparency, Starbucks can fortify its competitive function. Future analyses can build on these findings to uncover additional possibilities for growth and consumer engagement. This project demonstrates the importance of leveraging records to power enterprise techniques and deliver cost to customers.</w:t>
      </w:r>
    </w:p>
    <w:p w:rsidR="00000000" w:rsidDel="00000000" w:rsidP="00000000" w:rsidRDefault="00000000" w:rsidRPr="00000000" w14:paraId="0000000B">
      <w:pPr>
        <w:spacing w:line="48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0C">
      <w:pPr>
        <w:spacing w:line="48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0D">
      <w:pPr>
        <w:spacing w:line="48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0E">
      <w:pPr>
        <w:spacing w:line="48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0F">
      <w:pPr>
        <w:spacing w:line="48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w:cs="Times" w:eastAsia="Times" w:hAnsi="Times"/>
        </w:rPr>
      </w:pPr>
      <w:r w:rsidDel="00000000" w:rsidR="00000000" w:rsidRPr="00000000">
        <w:rPr>
          <w:rFonts w:ascii="Times" w:cs="Times" w:eastAsia="Times" w:hAnsi="Times"/>
          <w:rtl w:val="0"/>
        </w:rPr>
        <w:t xml:space="preserve">Citations:</w:t>
      </w:r>
    </w:p>
    <w:p w:rsidR="00000000" w:rsidDel="00000000" w:rsidP="00000000" w:rsidRDefault="00000000" w:rsidRPr="00000000" w14:paraId="00000011">
      <w:pPr>
        <w:numPr>
          <w:ilvl w:val="0"/>
          <w:numId w:val="1"/>
        </w:numPr>
        <w:spacing w:line="480" w:lineRule="auto"/>
        <w:ind w:left="720" w:hanging="360"/>
        <w:rPr>
          <w:rFonts w:ascii="Times" w:cs="Times" w:eastAsia="Times" w:hAnsi="Times"/>
        </w:rPr>
      </w:pPr>
      <w:r w:rsidDel="00000000" w:rsidR="00000000" w:rsidRPr="00000000">
        <w:rPr>
          <w:rFonts w:ascii="Times" w:cs="Times" w:eastAsia="Times" w:hAnsi="Times"/>
          <w:rtl w:val="0"/>
        </w:rPr>
        <w:t xml:space="preserve">“Starbucks.” </w:t>
      </w:r>
      <w:r w:rsidDel="00000000" w:rsidR="00000000" w:rsidRPr="00000000">
        <w:rPr>
          <w:rFonts w:ascii="Times" w:cs="Times" w:eastAsia="Times" w:hAnsi="Times"/>
          <w:i w:val="1"/>
          <w:rtl w:val="0"/>
        </w:rPr>
        <w:t xml:space="preserve">Www.kaggle.com</w:t>
      </w:r>
      <w:r w:rsidDel="00000000" w:rsidR="00000000" w:rsidRPr="00000000">
        <w:rPr>
          <w:rFonts w:ascii="Times" w:cs="Times" w:eastAsia="Times" w:hAnsi="Times"/>
          <w:rtl w:val="0"/>
        </w:rPr>
        <w:t xml:space="preserve">, www.kaggle.com/datasets/henryshan/starbucks.</w:t>
      </w:r>
    </w:p>
    <w:p w:rsidR="00000000" w:rsidDel="00000000" w:rsidP="00000000" w:rsidRDefault="00000000" w:rsidRPr="00000000" w14:paraId="00000012">
      <w:pPr>
        <w:numPr>
          <w:ilvl w:val="0"/>
          <w:numId w:val="1"/>
        </w:numPr>
        <w:spacing w:line="480" w:lineRule="auto"/>
        <w:ind w:left="720" w:hanging="360"/>
        <w:rPr>
          <w:rFonts w:ascii="Times" w:cs="Times" w:eastAsia="Times" w:hAnsi="Times"/>
        </w:rPr>
      </w:pPr>
      <w:r w:rsidDel="00000000" w:rsidR="00000000" w:rsidRPr="00000000">
        <w:rPr>
          <w:rFonts w:ascii="Times" w:cs="Times" w:eastAsia="Times" w:hAnsi="Times"/>
          <w:rtl w:val="0"/>
        </w:rPr>
        <w:t xml:space="preserve">OpenAI. “ChatGPT.” </w:t>
      </w:r>
      <w:r w:rsidDel="00000000" w:rsidR="00000000" w:rsidRPr="00000000">
        <w:rPr>
          <w:rFonts w:ascii="Times" w:cs="Times" w:eastAsia="Times" w:hAnsi="Times"/>
          <w:i w:val="1"/>
          <w:rtl w:val="0"/>
        </w:rPr>
        <w:t xml:space="preserve">ChatGPT</w:t>
      </w:r>
      <w:r w:rsidDel="00000000" w:rsidR="00000000" w:rsidRPr="00000000">
        <w:rPr>
          <w:rFonts w:ascii="Times" w:cs="Times" w:eastAsia="Times" w:hAnsi="Times"/>
          <w:rtl w:val="0"/>
        </w:rPr>
        <w:t xml:space="preserve">, OpenAI, 2024, chatgpt.com/.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