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LocalPlus Post-Search Discovery Infrastructure: A Comprehensive Technical and Economic Analysis of the Generative Answer Economy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traditional search engines to generative discovery layers marks the most significant structural change in digital information retrieval since the inception of the commercial internet. In the early months of 2026, the digital landscape has shifted from a model predicated on the "Keyword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Link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3"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Click" sequence to a more sophisticated "Intent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Action" paradigm.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is driven by the reality that nearly sixty percent of searches now culminate without a single click to an external website, as users increasingly rely on synthesized AI summaries to navigate their daily requirements.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Within this context, LocalPlus emerges as a specialized city-level AI discovery infrastructure, designed to serve as the post-search Discovery Layer for local economies.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effectively reimagines the role of advertising in a generative environment, moving from competing for Page Rank to competing for Answer Inclusion.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evaluates the technical architecture, economic primitives, and regulatory boundaries of the LocalPlus engine, assessing its viability as the foundational "AdWords for the Generative Era".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Foundations of Weighted Retrieval-Augmented Generation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engine of the LocalPlus infrastructure is built upon a Weighted Retrieval-Augmented Generation (RAG) framework, a departure from the "naive" RAG systems that dominated the initial wave of generative AI.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architectural choice to prioritize a weighted model is a direct response to the "semantic flattening" problem seen in standard vector-only Large Language Models (LLMs), where the subtle nuances of local civic hierarchies and real-time relationship mapping are often lost.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externalizing knowledge into a structured repository, LocalPlus ensures that responses are grounded in verifiable, city-specific data rather than the probabilistic guesses of global frontier models.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retrieval layer utilizes a hybrid framework, combining Lexical (BM25) search for exact keyword matching with Dense Vector Retrieval for capturing semantic intent.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synthesis addresses the fundamental limitations of single-mode retrieval; keyword methods excel at precision but lack conceptual depth, while vector models provide breadth but often struggle with the exactness required for local business queries.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example, a user looking for a specific brand of artisanal coffee in a specific suburb requires the lexical precision of BM25 to find the exact match, whereas a broader intent query regarding "best places for a quiet business meeting with vegan options" necessitates the semantic understanding of dense vector spaces.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Retrieval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Lexical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BM25 / Inverted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Matching of Entities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at 1 (P@1)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Vector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HNSW / Vector Embedding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Intent &amp; Nuance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Recall at K (R@K)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Neo4j Graph-RAG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Multi-hop Hierarchies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Scoring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Weighted Multi-Objective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for Answer Inclusion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Normalized Discounted Cumulative Gain</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pivotal innovation within this stack is the integration of Graph-RAG, specifically utilizing a Neo4j-based infrastructure to handle structured local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local economy context, facts are rarely isolated; they exist within a complex web of civic hierarchies, proximity constraints, and service availability.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standard LLMs often struggle with multi-hop reasoning—such as identifying a plumber who is not only licensed in a specific jurisdiction but also currently available and located within a five-kilometer radius—the Graph-RAG approach enables the system to follow explicit relationship chains.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relational moat is critical for preventing the hallucinations common in global models, where AI may fabricate connections between entities that do not exist in the physical local market.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ranking of these results is determined by a multi-objective scoring model that balances organic relevance with commercial viability and user reputation.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weighting of this model is precisely calibrated to maintain user trust while facilitating monetization: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08752" cy="648072"/>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08752" cy="64807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formula indicates that while commercial sponsorship is a factor, it is capped at ten percent of the overall score, ensuring that the primary driver of inclusion remains the utility and accuracy of the answer provided to the user.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Influence Funnel and the Transition from CPC to Answer Share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 defines its economic primitive as the "Influence Funnel," a tiered structure that monetizes the generative search experience across four distinct layers of visibility.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model is designed to transition small and medium-sized enterprises (SMEs) away from the increasingly volatile Cost Per Click (CPC) environment of 2026 and toward a more stable metric known as "Cost Per Answer Share".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early 2026, average search CPCs on major platforms have reached historic highs, driven by intensified competition and the emergence of specialized ad formats.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instance, legal services in major metropolitan areas can see search CPCs as high as </w:t>
      </w:r>
      <w:r w:rsidDel="00000000" w:rsidR="00000000" w:rsidRPr="00000000">
        <w:rPr>
          <w:rFonts w:ascii="Google Sans" w:cs="Google Sans" w:eastAsia="Google Sans" w:hAnsi="Google Sans"/>
          <w:color w:val="1f1f1f"/>
        </w:rPr>
        <w:drawing>
          <wp:inline distB="19050" distT="19050" distL="19050" distR="19050">
            <wp:extent cx="512415" cy="218251"/>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12415" cy="218251"/>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an SME, this inflationary pressure makes traditional search auctions unsustainable.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Influence Funnel offers an alternative by monetizing the nature of the AI response itself.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Layers of the Influence Funnel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base layer of the funnel is Mentions, representing simple awareness through unlinked inclusion in AI prose.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followed by Citations, which provide authority through clickable source attribution and a "Verified Source" status.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third layer is Clicks, where high-intent actions—such as requesting a quote or viewing a full profile—are tracked.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final layer represents Outcomes, which are completed transactions or bookings facilitated via API integration directly within the discovery interface.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Funnel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Economic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Monetization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High-Level Awareness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Reading Prose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CPAS (Cost Per Answer Share)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Authority &amp; Trust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Verifying Sources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Partner Fee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Intent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Requesting Quote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Per Action (CPA)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Transaction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Booking/Purchase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Commission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 "Answer Share" as the primary KPI for B2B sales reflects a deeper change in consumer behavior.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AI engines in 2026 typically compress the decision space into a shortlist of three to five recommendations, being "included" in that shortlist is more valuable than ranking on a page that a user may never scroll through.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Answer Share measures the percentage of responses within a category or location that include a specific business, providing a direct measurement of market share in the discovery layer.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modeling of this transition suggests that traffic from AI discovery platforms achieves significantly higher conversion rates—reported as high as 14.2%—compared to the 2.8% common in traditional organic search.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implies that while the total volume of discovery interactions might be lower than traditional impressions, the quality of "answer-assisted" leads is vastly superior, justifying a premium for inclusion.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Bottlenecks: Real-Time Transactional Latency and Data Decay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technical challenge identified in the LocalPlus evaluation phase is the latency inherent in synchronizing Graph-RAG updates for transactional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city-level infrastructure to be effective, it must reflect real-time status changes, such as a business being "Sold Out" or a service becoming "Available Now," with 99%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requires a radical departure from the batch-oriented processing of 2023-2025, which often introduced delays of hours or days.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Budgeting for Generative Discovery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enterprise AI environments, latency is directly correlated with user retention. Research in 2026 indicates that nearly 68% of production RAG deployments exceed a two-second latency, leading to a 40% drop-off in user engagement.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To maintain a fluid, conversational experience, LocalPlus must achieve sub-second end-to-end response times.</w:t>
      </w:r>
      <w:r w:rsidDel="00000000" w:rsidR="00000000" w:rsidRPr="00000000">
        <w:rPr>
          <w:rFonts w:ascii="Google Sans" w:cs="Google Sans" w:eastAsia="Google Sans" w:hAnsi="Google Sans"/>
          <w:color w:val="444746"/>
          <w:sz w:val="24"/>
          <w:szCs w:val="24"/>
          <w:vertAlign w:val="superscript"/>
          <w:rtl w:val="0"/>
        </w:rPr>
        <w:t xml:space="preserve">37</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RAG Pipeline Stage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 Budget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Ingestion &amp; CDC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Log-based Change Data Capture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 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GPU-accelerated Models (e.g., Qwen3)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 Graph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In-memory Index-free Adjacency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Reranking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Cross-Encoders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Inference (TTFT)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Language Model (SLM) Optimization</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"Live-Graph" architecture addresses the "Hyper-Local Decay" problem seen in global models like Gemini or GPT-5.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global models suffer from significant accuracy degradation outside of major metropolitan hubs, particularly in markets like Australia and Thailand.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suburban and rural ZIP codes, LLMs are frequently found to surface businesses that have been closed for months or to provide incorrect operating hours.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Statistical benchmarks from early 2026 suggest that general-purpose models fail to maintain correct local status for more than thirty percent of businesses in these regions.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 solves this through a streaming ingestion pipeline centered on Neo4j Change Data Capture (CDC) and Kafka.</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tapping directly into the transaction logs of local business systems, the "Live-Graph" ensures that every update is emitted as an event and reflected in the AI's context window within seconds.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However, managing this synchronization at a city-level scale presents a "Three-Index Problem," where text, vector, and graph indexes must be updated simultaneously without compromising query performance.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use of distributed graph architectures like "Infinigraph" is proposed to allow horizontal scaling and support for billions of relationships while maintaining sub-second latency targets.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The Conflict Between Symbolic Disclosure and Transparency Mandates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research boundary for LocalPlus is the regulatory validity of its "Symbolic Disclosure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monetize AI prose while maintaining user trust, the platform embeds a "Language of Visibility" directly in the generative 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system utilizes specific symbols—the Middle Dot (·), Dagger (†), Star (★), and Arrow (→)—to denote various levels of commercial influence.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2026 regulatory landscape, particularly the EU AI Act and updated Federal Trade Commission (FTC) guidelines, transparency is no longer a design preference but a legal mandate.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EU AI Act (Article 50) requires that AI-generated synthetic content be identifiable as such in a "clear and distinguishable manner" and provided in a "machine-readable format".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EU's Draft Code of Practice (March 2026) suggests a uniform "AI" visual cue for across-the-board disclosure, raising questions about whether proprietary symbolic ciphers meet the standard of recognizability.</w:t>
      </w:r>
      <w:r w:rsidDel="00000000" w:rsidR="00000000" w:rsidRPr="00000000">
        <w:rPr>
          <w:rFonts w:ascii="Google Sans" w:cs="Google Sans" w:eastAsia="Google Sans" w:hAnsi="Google Sans"/>
          <w:color w:val="444746"/>
          <w:sz w:val="24"/>
          <w:szCs w:val="24"/>
          <w:vertAlign w:val="superscript"/>
          <w:rtl w:val="0"/>
        </w:rPr>
        <w:t xml:space="preserve">47</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 Concern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Middle Dot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Promoted Mention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it "obvious" advertising to a layperson?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Dagger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 Paid Citation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it meet "Clear and Conspicuous" standards?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Featured / Premium Partner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Could it be confused with organic ratings?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Arrow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the commercial nature disclosed before interaction?</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FTC's 2026 AI Policy Statement emphasizes that disclosures must be "unavoidable" and "prominently displayed".</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LocalPlus protocol utilizes "Progressive Disclosure," requiring user interaction (e.g., hovering or clicking) to reveal the nature of the influence.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may conflict with FTC standards that prohibit burying material terms behind hyperlinks or requiring additional user actions to find mandatory disclosures.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FTC distinguishes between AI as a tool and AI as a creator.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Content classified as "Tier 1: AI-Generated" (where AI produces the majority of the output) requires full disclosure.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 the context of LocalPlus, where prose is entirely synthesized by the engine, the burden of proof for transparency is exceptionally high.</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legal "net impression" of the answer is the deciding factor; if a user perceives the response as a neutral, objective recommendation while it is influenced by a paid sponsorship, the platform risks substantial civil penalties—up to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violation—for deceptive practices.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Local Business Data Decay in APAC Markets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advantage of LocalPlus is predicated on the measurable failure of big-tech LLMs to maintain accurate hyper-local information.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Data decay is an accelerating crisis; B2B contact data decays at a staggering 70.3% annually, and the monthly decay rate has risen to 3.6% as of late 2024.</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For local discovery, this means that even a model updated quarterly is fundamentally obsolete within weeks.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Modes in Australia and Thailand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Allens AI Australian law benchmark (2025) and subsequent market studies reveal that models like GPT-4o and Gemini 2.0, while improving in reasoning, continue to struggle with jurisdictional specificity and hyper-local facts.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In Australia, models have been documented citing non-existent case law or erroneously applying UK or US precedents to Australian business regulations.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For a local consumer, this decay manifests in practical inconveniences: incorrect pricing on menus, outdated service offerings, and failure to account for seasonal or public holiday hour changes.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Thailand, the rapid structural shift toward a digital-first economy has created a high-velocity environment where businesses are digitizing at an unprecedented rate.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Belief-based businesses (Mutelu) and local retailers are using AI-powered consultations and online marketplaces, yet the global training sets of frontier models often miss these emerging entities entirely.</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 2026 forecast by the University of the Thai Chamber of Commerce indicates that while tech-driven sectors are scoring near-perfect sales alignments, the "analog downfall" is leaving many traditional retail data points in global LLMs as ghosts of businesses that no longer exist.</w:t>
      </w:r>
      <w:r w:rsidDel="00000000" w:rsidR="00000000" w:rsidRPr="00000000">
        <w:rPr>
          <w:rFonts w:ascii="Google Sans" w:cs="Google Sans" w:eastAsia="Google Sans" w:hAnsi="Google Sans"/>
          <w:color w:val="444746"/>
          <w:sz w:val="24"/>
          <w:szCs w:val="24"/>
          <w:vertAlign w:val="superscript"/>
          <w:rtl w:val="0"/>
        </w:rPr>
        <w:t xml:space="preserve">62</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Point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Big-Tech LLM 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LocalPlus Target 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of Decay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 Operating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arrives at closed shop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Availability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Failed booking attempts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Pricing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Bait-and-switch complaints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Jurisdictional 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risk for SMEs</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LocalPlus's use of a "Live-Graph" and streaming RAG architecture is designed to mitigate this decay by ensuring that the AI's "internal library" is never older than 60 seconds.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proactive stance on data freshness is a critical differentiator for businesses whose profitability depends on the accuracy of real-time signals, such as inventory levels or appointment availability.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Economics and Modeling the Transition for SMEs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viability of LocalPlus depends on providing a scalable, cost-efficient alternative to traditional digital marketing.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Saas and AI platforms shift toward consumption-based pricing models, SMEs are being forced to treat AI usage as an operational budget item similar to travel or energy expenses.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and Operating Costs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production-grade RAG system in 2026 involves significant upfront and ongoing investment.</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For an enterprise-scale implementation (100K+ documents), initial build costs can range from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1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monthly operating costs between </w:t>
      </w:r>
      <w:r w:rsidDel="00000000" w:rsidR="00000000" w:rsidRPr="00000000">
        <w:rPr>
          <w:rFonts w:ascii="Google Sans" w:cs="Google Sans" w:eastAsia="Google Sans" w:hAnsi="Google Sans"/>
          <w:color w:val="1f1f1f"/>
        </w:rPr>
        <w:drawing>
          <wp:inline distB="19050" distT="19050" distL="19050" distR="19050">
            <wp:extent cx="543222" cy="219195"/>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3222" cy="219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69</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SME Budget (Small)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Enterprise Budget (Large)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Cost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DB Hosting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22312" cy="228267"/>
                  <wp:effectExtent b="0" l="0" r="0" t="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122312" cy="22826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81138" cy="227867"/>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481138" cy="22786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Count / Dimensions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API Costs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06716" cy="228914"/>
                  <wp:effectExtent b="0" l="0" r="0" t="0"/>
                  <wp:docPr id="1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06716" cy="22891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747542" cy="229186"/>
                  <wp:effectExtent b="0" l="0" r="0" t="0"/>
                  <wp:docPr id="1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747542" cy="22918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 Volume / Token 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214438" cy="227707"/>
                  <wp:effectExtent b="0" l="0" r="0" t="0"/>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214438" cy="22770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81138" cy="227867"/>
                  <wp:effectExtent b="0" l="0" r="0" t="0"/>
                  <wp:docPr id="1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481138" cy="22786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Change Rate / Update Freq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Monitoring &amp; SRE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306716" cy="228914"/>
                  <wp:effectExtent b="0" l="0" r="0" t="0"/>
                  <wp:docPr id="1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306716" cy="22891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55416" cy="228333"/>
                  <wp:effectExtent b="0" l="0" r="0" t="0"/>
                  <wp:docPr id="2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655416" cy="22833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Reliability SLAs</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"Cost Per Answer Share" (CPAS) allows LocalPlus to aggregate these costs across thousands of participants, offering a "pay-for-visibility" model that is accessible even to smaller operators.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reflects the broader trend of "building smarter" for SMEs, where collaborative ecosystems and AI-driven optimization are essential for survival in a low-margin, high-inflation environment.</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For many SMEs, the ROI of a discovery infrastructure is realized through a 60% reduction in compliance research time and a 40% reduction in customer support ticket resolution times.</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successful CPAS model must also account for the "Ontology Tax"—the hidden cost of designing, maintaining, and governing the knowledge graph.</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Without proper entity resolution and hierarchical community detection, Graph-RAG accuracy on complex questions can be as low as 43%.</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LocalPlus addresses this through "GleaningEntityExtractor" protocols, which use iterative rounds of extraction and validation to ensure that the graph remains clean and useful for reasoning.</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Positioning and the Future of Discovery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LocalPlus positions itself as a specialized alternative to the "Hyper-Local Decay" inherent in the models of big-tech giants.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players like Google and Apple are deepening AI integration inside their existing Maps and Search ecosystems, they remain tethered to global dataset refresh cycles.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Google Gemini, for instance, dominates the retail sector with a 43% market share but remains vulnerable to accuracy issues outside of high-density metropolitan centers.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competitive advantage for LocalPlus lies in its "Graph-First" view of data, which complements the event-driven architecture of modern cloud ecosystems.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providing "accurate agentic GraphRAG," LocalPlus enables a new generation of autonomous business processes that can orchestrate end-to-end workflows—from discovery to transaction—with minimal human oversight by 2026.</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traditional search engine volume is predicted to drop by 25% by the end of 2026, the value of the "Prompted Moment of Truth" will only increase.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Brands that focus on "Answer Engine Optimization" (AEO)—prioritizing semantic authority, factual depth, and machine-readable data—will secure their place in the compressed decision space of the generative future.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Conclusions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evaluation of the LocalPlus discovery infrastructure in March 2026 indicates a system that is technologically mature yet faces evolving regulatory and economic pressures. The foundational thesis—replacing keyword auctions with answer inclusion—is validated by the widespread adoption of zero-click search and the 60% reduction in CTR for traditional organic results.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Strategic Takeaways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"moat" provided by the Neo4j-based Graph-RAG integration is essential for providing the relational context that vector-only search lacks.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30-second default refresh interval currently seen in many Kafka-CDC pipelines may be insufficient for high-frequency transactional data, suggesting a need for sub-second streaming optimizations.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Achieving this level of performance requires a shift toward "Shift Left" architectures, where data is enriched and analyzed as it flows through the streaming layer.</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transition for SMEs from CPC to CPAS offers a sustainable path forward but necessitates the development of standardized "Answer Share" analytics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Influence Funnel provides a sophisticated framework for this monetization, but its success depends on maintaining a conversion rate advantage over traditional organic traffic.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Early benchmarks indicating a five-fold conversion advantage for "answer-assisted" leads provide a strong business case for this shift.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regulatory conflict regarding "Symbolic Disclosure" remains the highest risk factor for the platform.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Progressive disclosure elements, while elegant from a design perspective, may not satisfy the "unavoidable and prominent" standard set by the FTC and EU regulators in 2026.</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 hybrid approach—combining symbolic markers with clear, text-based introductory notices (e.g., "AI-Generated Results Include Sponsored Inclusions")—is recommended to de-risk the platform's long-term deployment.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LocalPlus represents a highly advanced and necessary infrastructure for the generative era. By solving the hyper-local decay problem through the Live-Graph and establishing the Influence Funnel as a new economic primitive, the platform is well-positioned to lead the transition into a post-search discovery world. The success of the project will ultimately depend on its ability to navigate the complex interplay between real-time technical performance, SME budget predictability, and the stringent transparency requirements of global AI governance.</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LocalPlus- Project Grounding Pack (v1.0).rtf</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marketing trends report: 26 moves to accelerate your marketing performance, accessed March 22, 2026, </w:t>
      </w:r>
      <w:hyperlink r:id="rId23">
        <w:r w:rsidDel="00000000" w:rsidR="00000000" w:rsidRPr="00000000">
          <w:rPr>
            <w:rFonts w:ascii="Google Sans" w:cs="Google Sans" w:eastAsia="Google Sans" w:hAnsi="Google Sans"/>
            <w:color w:val="0000ee"/>
            <w:sz w:val="24"/>
            <w:szCs w:val="24"/>
            <w:u w:val="single"/>
            <w:rtl w:val="0"/>
          </w:rPr>
          <w:t xml:space="preserve">https://www.dacgroup.com/insights/blog/strategy/the-2026-marketing-trends-report-26-moves-to-accelerate-your-marketing-performance/</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Search Rankings to AI Answers: Reputation Marks 20 Years by Defining How Brands Build Trust, Get Found and Drive Revenue in the AI Era - Business Wire, accessed March 22, 2026, </w:t>
      </w:r>
      <w:hyperlink r:id="rId24">
        <w:r w:rsidDel="00000000" w:rsidR="00000000" w:rsidRPr="00000000">
          <w:rPr>
            <w:rFonts w:ascii="Google Sans" w:cs="Google Sans" w:eastAsia="Google Sans" w:hAnsi="Google Sans"/>
            <w:color w:val="0000ee"/>
            <w:sz w:val="24"/>
            <w:szCs w:val="24"/>
            <w:u w:val="single"/>
            <w:rtl w:val="0"/>
          </w:rPr>
          <w:t xml:space="preserve">https://www.businesswire.com/news/home/20260317270984/en/From-Search-Rankings-to-AI-Answers-Reputation-Marks-20-Years-by-Defining-How-Brands-Build-Trust-Get-Found-and-Drive-Revenue-in-the-AI-Era</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Statistics 2026: Where 800 Million Users Are Searching Instead of Google - evolv., accessed March 22, 2026, </w:t>
      </w:r>
      <w:hyperlink r:id="rId25">
        <w:r w:rsidDel="00000000" w:rsidR="00000000" w:rsidRPr="00000000">
          <w:rPr>
            <w:rFonts w:ascii="Google Sans" w:cs="Google Sans" w:eastAsia="Google Sans" w:hAnsi="Google Sans"/>
            <w:color w:val="0000ee"/>
            <w:sz w:val="24"/>
            <w:szCs w:val="24"/>
            <w:u w:val="single"/>
            <w:rtl w:val="0"/>
          </w:rPr>
          <w:t xml:space="preserve">https://evolvagency.io/learn/generative-search/llm-statistics-2026</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RAG Architectures That Stop AI Hallucinations (89% of Developers Get This Wrong), accessed March 22, 2026, </w:t>
      </w:r>
      <w:hyperlink r:id="rId26">
        <w:r w:rsidDel="00000000" w:rsidR="00000000" w:rsidRPr="00000000">
          <w:rPr>
            <w:rFonts w:ascii="Google Sans" w:cs="Google Sans" w:eastAsia="Google Sans" w:hAnsi="Google Sans"/>
            <w:color w:val="0000ee"/>
            <w:sz w:val="24"/>
            <w:szCs w:val="24"/>
            <w:u w:val="single"/>
            <w:rtl w:val="0"/>
          </w:rPr>
          <w:t xml:space="preserve">https://pub.towardsai.net/9-rag-architectures-that-stop-ai-hallucinations-89-of-developers-get-this-wrong-df7afd807d9f</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Architecture Cheat Sheet: Pick the Right RAG in 60 Seconds | by Robi Kumar Tomar | AI Mind, accessed March 22, 2026, </w:t>
      </w:r>
      <w:hyperlink r:id="rId27">
        <w:r w:rsidDel="00000000" w:rsidR="00000000" w:rsidRPr="00000000">
          <w:rPr>
            <w:rFonts w:ascii="Google Sans" w:cs="Google Sans" w:eastAsia="Google Sans" w:hAnsi="Google Sans"/>
            <w:color w:val="0000ee"/>
            <w:sz w:val="24"/>
            <w:szCs w:val="24"/>
            <w:u w:val="single"/>
            <w:rtl w:val="0"/>
          </w:rPr>
          <w:t xml:space="preserve">https://pub.aimind.so/rag-architecture-cheat-sheet-pick-the-right-rag-in-60-seconds-fa28a4f9ff53</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GraphRAG? - IBM, accessed March 22, 2026, </w:t>
      </w:r>
      <w:hyperlink r:id="rId28">
        <w:r w:rsidDel="00000000" w:rsidR="00000000" w:rsidRPr="00000000">
          <w:rPr>
            <w:rFonts w:ascii="Google Sans" w:cs="Google Sans" w:eastAsia="Google Sans" w:hAnsi="Google Sans"/>
            <w:color w:val="0000ee"/>
            <w:sz w:val="24"/>
            <w:szCs w:val="24"/>
            <w:u w:val="single"/>
            <w:rtl w:val="0"/>
          </w:rPr>
          <w:t xml:space="preserve">https://www.ibm.com/think/topics/graphrag</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Graphs vs RAG: When to Use Each for AI in 2026 - Atlan, accessed March 22, 2026, </w:t>
      </w:r>
      <w:hyperlink r:id="rId29">
        <w:r w:rsidDel="00000000" w:rsidR="00000000" w:rsidRPr="00000000">
          <w:rPr>
            <w:rFonts w:ascii="Google Sans" w:cs="Google Sans" w:eastAsia="Google Sans" w:hAnsi="Google Sans"/>
            <w:color w:val="0000ee"/>
            <w:sz w:val="24"/>
            <w:szCs w:val="24"/>
            <w:u w:val="single"/>
            <w:rtl w:val="0"/>
          </w:rPr>
          <w:t xml:space="preserve">https://atlan.com/know/knowledge-graphs-vs-rag-for-ai/</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Tutorial: How to Build a RAG System on a Knowledge Graph - Neo4j, accessed March 22, 2026, </w:t>
      </w:r>
      <w:hyperlink r:id="rId30">
        <w:r w:rsidDel="00000000" w:rsidR="00000000" w:rsidRPr="00000000">
          <w:rPr>
            <w:rFonts w:ascii="Google Sans" w:cs="Google Sans" w:eastAsia="Google Sans" w:hAnsi="Google Sans"/>
            <w:color w:val="0000ee"/>
            <w:sz w:val="24"/>
            <w:szCs w:val="24"/>
            <w:u w:val="single"/>
            <w:rtl w:val="0"/>
          </w:rPr>
          <w:t xml:space="preserve">https://neo4j.com/blog/developer/rag-tutorial/</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in 2026: How Retrieval-Augmented Generation Works for Enterprise AI, accessed March 22, 2026, </w:t>
      </w:r>
      <w:hyperlink r:id="rId31">
        <w:r w:rsidDel="00000000" w:rsidR="00000000" w:rsidRPr="00000000">
          <w:rPr>
            <w:rFonts w:ascii="Google Sans" w:cs="Google Sans" w:eastAsia="Google Sans" w:hAnsi="Google Sans"/>
            <w:color w:val="0000ee"/>
            <w:sz w:val="24"/>
            <w:szCs w:val="24"/>
            <w:u w:val="single"/>
            <w:rtl w:val="0"/>
          </w:rPr>
          <w:t xml:space="preserve">https://www.techment.com/blogs/rag-models-2026-enterprise-ai/</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Production RAG Architecture Nobody Teaches: A Complete Guide to Building Enterprise-Grade Retrieval Systems - Medium, accessed March 22, 2026, </w:t>
      </w:r>
      <w:hyperlink r:id="rId32">
        <w:r w:rsidDel="00000000" w:rsidR="00000000" w:rsidRPr="00000000">
          <w:rPr>
            <w:rFonts w:ascii="Google Sans" w:cs="Google Sans" w:eastAsia="Google Sans" w:hAnsi="Google Sans"/>
            <w:color w:val="0000ee"/>
            <w:sz w:val="24"/>
            <w:szCs w:val="24"/>
            <w:u w:val="single"/>
            <w:rtl w:val="0"/>
          </w:rPr>
          <w:t xml:space="preserve">https://medium.com/@spjosyula2005/the-production-rag-architecture-a-complete-guide-to-building-enterprise-grade-65d24292fcea</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Synthesis of Advanced Retrieval and RAG Architectures: State-of-the-Art Research, accessed March 22, 2026, </w:t>
      </w:r>
      <w:hyperlink r:id="rId33">
        <w:r w:rsidDel="00000000" w:rsidR="00000000" w:rsidRPr="00000000">
          <w:rPr>
            <w:rFonts w:ascii="Google Sans" w:cs="Google Sans" w:eastAsia="Google Sans" w:hAnsi="Google Sans"/>
            <w:color w:val="0000ee"/>
            <w:sz w:val="24"/>
            <w:szCs w:val="24"/>
            <w:u w:val="single"/>
            <w:rtl w:val="0"/>
          </w:rPr>
          <w:t xml:space="preserve">https://c3.unu.edu/projects/ai/deepresearch/demo_research-report_searchengine1.html</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Modern RAG Agent in 2026: Qwen3 Embeddings and Vector Database in Qdrant., accessed March 22, 2026, </w:t>
      </w:r>
      <w:hyperlink r:id="rId34">
        <w:r w:rsidDel="00000000" w:rsidR="00000000" w:rsidRPr="00000000">
          <w:rPr>
            <w:rFonts w:ascii="Google Sans" w:cs="Google Sans" w:eastAsia="Google Sans" w:hAnsi="Google Sans"/>
            <w:color w:val="0000ee"/>
            <w:sz w:val="24"/>
            <w:szCs w:val="24"/>
            <w:u w:val="single"/>
            <w:rtl w:val="0"/>
          </w:rPr>
          <w:t xml:space="preserve">https://pub.towardsai.net/building-a-modern-rag-pipeline-in-2026-qwen3-embeddings-and-vector-database-in-qdrant-ebeca2bbe338</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shiny object to sober reality: The vector database story, two years later | VentureBeat, accessed March 22, 2026, </w:t>
      </w:r>
      <w:hyperlink r:id="rId35">
        <w:r w:rsidDel="00000000" w:rsidR="00000000" w:rsidRPr="00000000">
          <w:rPr>
            <w:rFonts w:ascii="Google Sans" w:cs="Google Sans" w:eastAsia="Google Sans" w:hAnsi="Google Sans"/>
            <w:color w:val="0000ee"/>
            <w:sz w:val="24"/>
            <w:szCs w:val="24"/>
            <w:u w:val="single"/>
            <w:rtl w:val="0"/>
          </w:rPr>
          <w:t xml:space="preserve">https://venturebeat.com/ai/from-shiny-object-to-sober-reality-the-vector-database-story-two-years-later</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High-Speed Vector Indexing for Low-Latency RAG Pipelines - Indium Software, accessed March 22, 2026, </w:t>
      </w:r>
      <w:hyperlink r:id="rId36">
        <w:r w:rsidDel="00000000" w:rsidR="00000000" w:rsidRPr="00000000">
          <w:rPr>
            <w:rFonts w:ascii="Google Sans" w:cs="Google Sans" w:eastAsia="Google Sans" w:hAnsi="Google Sans"/>
            <w:color w:val="0000ee"/>
            <w:sz w:val="24"/>
            <w:szCs w:val="24"/>
            <w:u w:val="single"/>
            <w:rtl w:val="0"/>
          </w:rPr>
          <w:t xml:space="preserve">https://www.indium.tech/blog/high-speed-vector-indexing-low-latency-rag-pipelines/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Alternatives in 2026: A Fair Look at the Open-Source Options - ArcadeDB, accessed March 22, 2026, </w:t>
      </w:r>
      <w:hyperlink r:id="rId37">
        <w:r w:rsidDel="00000000" w:rsidR="00000000" w:rsidRPr="00000000">
          <w:rPr>
            <w:rFonts w:ascii="Google Sans" w:cs="Google Sans" w:eastAsia="Google Sans" w:hAnsi="Google Sans"/>
            <w:color w:val="0000ee"/>
            <w:sz w:val="24"/>
            <w:szCs w:val="24"/>
            <w:u w:val="single"/>
            <w:rtl w:val="0"/>
          </w:rPr>
          <w:t xml:space="preserve">https://arcadedb.com/blog/neo4j-alternatives-in-2026-a-fair-look-at-the-open-source-options/</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search with filters in Neo4j v2026.01 (Preview), accessed March 22, 2026, </w:t>
      </w:r>
      <w:hyperlink r:id="rId38">
        <w:r w:rsidDel="00000000" w:rsidR="00000000" w:rsidRPr="00000000">
          <w:rPr>
            <w:rFonts w:ascii="Google Sans" w:cs="Google Sans" w:eastAsia="Google Sans" w:hAnsi="Google Sans"/>
            <w:color w:val="0000ee"/>
            <w:sz w:val="24"/>
            <w:szCs w:val="24"/>
            <w:u w:val="single"/>
            <w:rtl w:val="0"/>
          </w:rPr>
          <w:t xml:space="preserve">https://neo4j.com/blog/genai/vector-search-with-filters-in-neo4j-v2026-01-preview/</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Janusgraph vs Neo4j : Key Differences &amp; Comparison - PuppyGraph, accessed March 22, 2026, </w:t>
      </w:r>
      <w:hyperlink r:id="rId39">
        <w:r w:rsidDel="00000000" w:rsidR="00000000" w:rsidRPr="00000000">
          <w:rPr>
            <w:rFonts w:ascii="Google Sans" w:cs="Google Sans" w:eastAsia="Google Sans" w:hAnsi="Google Sans"/>
            <w:color w:val="0000ee"/>
            <w:sz w:val="24"/>
            <w:szCs w:val="24"/>
            <w:u w:val="single"/>
            <w:rtl w:val="0"/>
          </w:rPr>
          <w:t xml:space="preserve">https://www.puppygraph.com/blog/janusgraph-vs-neo4j</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Breakdown of Graph RAG vs. Vector RAG - The Couchbase Blog, accessed March 22, 2026, </w:t>
      </w:r>
      <w:hyperlink r:id="rId40">
        <w:r w:rsidDel="00000000" w:rsidR="00000000" w:rsidRPr="00000000">
          <w:rPr>
            <w:rFonts w:ascii="Google Sans" w:cs="Google Sans" w:eastAsia="Google Sans" w:hAnsi="Google Sans"/>
            <w:color w:val="0000ee"/>
            <w:sz w:val="24"/>
            <w:szCs w:val="24"/>
            <w:u w:val="single"/>
            <w:rtl w:val="0"/>
          </w:rPr>
          <w:t xml:space="preserve">https://www.couchbase.com/blog/graph-rag-vs-vector-rag/</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&amp; Knowledge Graphs: Making Your Data AI-Ready for 2026 - Fluree, accessed March 22, 2026, </w:t>
      </w:r>
      <w:hyperlink r:id="rId41">
        <w:r w:rsidDel="00000000" w:rsidR="00000000" w:rsidRPr="00000000">
          <w:rPr>
            <w:rFonts w:ascii="Google Sans" w:cs="Google Sans" w:eastAsia="Google Sans" w:hAnsi="Google Sans"/>
            <w:color w:val="0000ee"/>
            <w:sz w:val="24"/>
            <w:szCs w:val="24"/>
            <w:u w:val="single"/>
            <w:rtl w:val="0"/>
          </w:rPr>
          <w:t xml:space="preserve">https://flur.ee/fluree-blog/graphrag-knowledge-graphs-making-your-data-ai-ready-for-2026/</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RAG vs Vector RAG Benchmark - AIMultiple, accessed March 22, 2026, </w:t>
      </w:r>
      <w:hyperlink r:id="rId42">
        <w:r w:rsidDel="00000000" w:rsidR="00000000" w:rsidRPr="00000000">
          <w:rPr>
            <w:rFonts w:ascii="Google Sans" w:cs="Google Sans" w:eastAsia="Google Sans" w:hAnsi="Google Sans"/>
            <w:color w:val="0000ee"/>
            <w:sz w:val="24"/>
            <w:szCs w:val="24"/>
            <w:u w:val="single"/>
            <w:rtl w:val="0"/>
          </w:rPr>
          <w:t xml:space="preserve">https://aimultiple.com/graph-rag</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software pricing metrics will force CIOs to change negotiating tactics, accessed March 22, 2026, </w:t>
      </w:r>
      <w:hyperlink r:id="rId43">
        <w:r w:rsidDel="00000000" w:rsidR="00000000" w:rsidRPr="00000000">
          <w:rPr>
            <w:rFonts w:ascii="Google Sans" w:cs="Google Sans" w:eastAsia="Google Sans" w:hAnsi="Google Sans"/>
            <w:color w:val="0000ee"/>
            <w:sz w:val="24"/>
            <w:szCs w:val="24"/>
            <w:u w:val="single"/>
            <w:rtl w:val="0"/>
          </w:rPr>
          <w:t xml:space="preserve">https://www.cio.com/article/4097012/new-software-pricing-metrics-will-force-cios-to-change-negotiating-tactics.html</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Amazon CPCs: Why Costs Are Up &amp; How to Stay Profitable, accessed March 22, 2026, </w:t>
      </w:r>
      <w:hyperlink r:id="rId44">
        <w:r w:rsidDel="00000000" w:rsidR="00000000" w:rsidRPr="00000000">
          <w:rPr>
            <w:rFonts w:ascii="Google Sans" w:cs="Google Sans" w:eastAsia="Google Sans" w:hAnsi="Google Sans"/>
            <w:color w:val="0000ee"/>
            <w:sz w:val="24"/>
            <w:szCs w:val="24"/>
            <w:u w:val="single"/>
            <w:rtl w:val="0"/>
          </w:rPr>
          <w:t xml:space="preserve">https://sellermetrics.app/rising-amazon-ad-cpcs/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COST-PER-CLICK STATISTICS 2026 THAT REVEAL SHOCKING DIGITAL AD COST SURGES - Amra &amp; Elma, accessed March 22, 2026, </w:t>
      </w:r>
      <w:hyperlink r:id="rId45">
        <w:r w:rsidDel="00000000" w:rsidR="00000000" w:rsidRPr="00000000">
          <w:rPr>
            <w:rFonts w:ascii="Google Sans" w:cs="Google Sans" w:eastAsia="Google Sans" w:hAnsi="Google Sans"/>
            <w:color w:val="0000ee"/>
            <w:sz w:val="24"/>
            <w:szCs w:val="24"/>
            <w:u w:val="single"/>
            <w:rtl w:val="0"/>
          </w:rPr>
          <w:t xml:space="preserve">https://www.amraandelma.com/top-cost-per-click-statistics/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Google Ads Cost [2026] + Free Calculator - Digital Nomads HQ, accessed March 22, 2026, </w:t>
      </w:r>
      <w:hyperlink r:id="rId46">
        <w:r w:rsidDel="00000000" w:rsidR="00000000" w:rsidRPr="00000000">
          <w:rPr>
            <w:rFonts w:ascii="Google Sans" w:cs="Google Sans" w:eastAsia="Google Sans" w:hAnsi="Google Sans"/>
            <w:color w:val="0000ee"/>
            <w:sz w:val="24"/>
            <w:szCs w:val="24"/>
            <w:u w:val="single"/>
            <w:rtl w:val="0"/>
          </w:rPr>
          <w:t xml:space="preserve">https://digitalnomadshq.com.au/blog/how-much-does-google-ads-cost/</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Rising Business Costs and Economic Uncertainty: How SMEs Can Stay Confident and In Control in 2026 - SME Centre of Excellence, accessed March 22, 2026, </w:t>
      </w:r>
      <w:hyperlink r:id="rId47">
        <w:r w:rsidDel="00000000" w:rsidR="00000000" w:rsidRPr="00000000">
          <w:rPr>
            <w:rFonts w:ascii="Google Sans" w:cs="Google Sans" w:eastAsia="Google Sans" w:hAnsi="Google Sans"/>
            <w:color w:val="0000ee"/>
            <w:sz w:val="24"/>
            <w:szCs w:val="24"/>
            <w:u w:val="single"/>
            <w:rtl w:val="0"/>
          </w:rPr>
          <w:t xml:space="preserve">https://www.smecofe.com/post/rising-business-costs-and-economic-uncertainty-how-smes-can-stay-confident-and-in-control-in-2026</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Advertising Cost: How Much Does Online Advertising Cost in 2026? - Landingi, accessed March 22, 2026, </w:t>
      </w:r>
      <w:hyperlink r:id="rId48">
        <w:r w:rsidDel="00000000" w:rsidR="00000000" w:rsidRPr="00000000">
          <w:rPr>
            <w:rFonts w:ascii="Google Sans" w:cs="Google Sans" w:eastAsia="Google Sans" w:hAnsi="Google Sans"/>
            <w:color w:val="0000ee"/>
            <w:sz w:val="24"/>
            <w:szCs w:val="24"/>
            <w:u w:val="single"/>
            <w:rtl w:val="0"/>
          </w:rPr>
          <w:t xml:space="preserve">https://landingi.com/digital-advertising/ad-costs/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DMWF Spotlight: Answer Engine Optimization (AEO): A comprehensive guide for 2026, accessed March 22, 2026, </w:t>
      </w:r>
      <w:hyperlink r:id="rId49">
        <w:r w:rsidDel="00000000" w:rsidR="00000000" w:rsidRPr="00000000">
          <w:rPr>
            <w:rFonts w:ascii="Google Sans" w:cs="Google Sans" w:eastAsia="Google Sans" w:hAnsi="Google Sans"/>
            <w:color w:val="0000ee"/>
            <w:sz w:val="24"/>
            <w:szCs w:val="24"/>
            <w:u w:val="single"/>
            <w:rtl w:val="0"/>
          </w:rPr>
          <w:t xml:space="preserve">https://www.marketingtechnews.net/news/answer-engine-optimization-aeo-a-comprehensive-guide-for-2026/</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Generative Engine Optimization (GEO) Visibility in 6 Steps - BrandRadar, accessed March 22, 2026, </w:t>
      </w:r>
      <w:hyperlink r:id="rId50">
        <w:r w:rsidDel="00000000" w:rsidR="00000000" w:rsidRPr="00000000">
          <w:rPr>
            <w:rFonts w:ascii="Google Sans" w:cs="Google Sans" w:eastAsia="Google Sans" w:hAnsi="Google Sans"/>
            <w:color w:val="0000ee"/>
            <w:sz w:val="24"/>
            <w:szCs w:val="24"/>
            <w:u w:val="single"/>
            <w:rtl w:val="0"/>
          </w:rPr>
          <w:t xml:space="preserve">https://www.brandradar.ai/resources/measure-generative-engine-optimization-visibility</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AI Search Visibility Scorecard &amp; Why It's the Future of SEO - ThatWare, accessed March 22, 2026, </w:t>
      </w:r>
      <w:hyperlink r:id="rId51">
        <w:r w:rsidDel="00000000" w:rsidR="00000000" w:rsidRPr="00000000">
          <w:rPr>
            <w:rFonts w:ascii="Google Sans" w:cs="Google Sans" w:eastAsia="Google Sans" w:hAnsi="Google Sans"/>
            <w:color w:val="0000ee"/>
            <w:sz w:val="24"/>
            <w:szCs w:val="24"/>
            <w:u w:val="single"/>
            <w:rtl w:val="0"/>
          </w:rPr>
          <w:t xml:space="preserve">https://thatware.co/ai-search-visibility-scorecard/</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Tools For AI Overviews and Zero-Click Search Optimization in 2026, accessed March 22, 2026, </w:t>
      </w:r>
      <w:hyperlink r:id="rId52">
        <w:r w:rsidDel="00000000" w:rsidR="00000000" w:rsidRPr="00000000">
          <w:rPr>
            <w:rFonts w:ascii="Google Sans" w:cs="Google Sans" w:eastAsia="Google Sans" w:hAnsi="Google Sans"/>
            <w:color w:val="0000ee"/>
            <w:sz w:val="24"/>
            <w:szCs w:val="24"/>
            <w:u w:val="single"/>
            <w:rtl w:val="0"/>
          </w:rPr>
          <w:t xml:space="preserve">https://blog.9cv9.com/top-10-ai-tools-for-ai-overviews-and-zero-click-search-optimization-in-2026/</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search market share 2026: Google vs Chatgpt stats revealed - Sedestral, accessed March 22, 2026, </w:t>
      </w:r>
      <w:hyperlink r:id="rId53">
        <w:r w:rsidDel="00000000" w:rsidR="00000000" w:rsidRPr="00000000">
          <w:rPr>
            <w:rFonts w:ascii="Google Sans" w:cs="Google Sans" w:eastAsia="Google Sans" w:hAnsi="Google Sans"/>
            <w:color w:val="0000ee"/>
            <w:sz w:val="24"/>
            <w:szCs w:val="24"/>
            <w:u w:val="single"/>
            <w:rtl w:val="0"/>
          </w:rPr>
          <w:t xml:space="preserve">https://sedestral.com/en/blog/ai-search-market-share-2026</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LLM for Analytics in 2026 (Tested on Real Data) - Anamap, accessed March 22, 2026, </w:t>
      </w:r>
      <w:hyperlink r:id="rId54">
        <w:r w:rsidDel="00000000" w:rsidR="00000000" w:rsidRPr="00000000">
          <w:rPr>
            <w:rFonts w:ascii="Google Sans" w:cs="Google Sans" w:eastAsia="Google Sans" w:hAnsi="Google Sans"/>
            <w:color w:val="0000ee"/>
            <w:sz w:val="24"/>
            <w:szCs w:val="24"/>
            <w:u w:val="single"/>
            <w:rtl w:val="0"/>
          </w:rPr>
          <w:t xml:space="preserve">https://anamaps.com/blog/best-llm-for-analytics</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RAG: Streaming Vector Embeddings and Low-Latency AI Search - Striim, accessed March 22, 2026, </w:t>
      </w:r>
      <w:hyperlink r:id="rId55">
        <w:r w:rsidDel="00000000" w:rsidR="00000000" w:rsidRPr="00000000">
          <w:rPr>
            <w:rFonts w:ascii="Google Sans" w:cs="Google Sans" w:eastAsia="Google Sans" w:hAnsi="Google Sans"/>
            <w:color w:val="0000ee"/>
            <w:sz w:val="24"/>
            <w:szCs w:val="24"/>
            <w:u w:val="single"/>
            <w:rtl w:val="0"/>
          </w:rPr>
          <w:t xml:space="preserve">https://www.striim.com/blog/real-time-rag-streaming-vector-embeddings-and-low-latency-ai-search/</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Real-Time RAG | Caylent, accessed March 22, 2026, </w:t>
      </w:r>
      <w:hyperlink r:id="rId56">
        <w:r w:rsidDel="00000000" w:rsidR="00000000" w:rsidRPr="00000000">
          <w:rPr>
            <w:rFonts w:ascii="Google Sans" w:cs="Google Sans" w:eastAsia="Google Sans" w:hAnsi="Google Sans"/>
            <w:color w:val="0000ee"/>
            <w:sz w:val="24"/>
            <w:szCs w:val="24"/>
            <w:u w:val="single"/>
            <w:rtl w:val="0"/>
          </w:rPr>
          <w:t xml:space="preserve">https://caylent.com/blog/introduction-to-real-time-rag</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Streaming Architecture Examples and Patterns - Confluent, accessed March 22, 2026, </w:t>
      </w:r>
      <w:hyperlink r:id="rId57">
        <w:r w:rsidDel="00000000" w:rsidR="00000000" w:rsidRPr="00000000">
          <w:rPr>
            <w:rFonts w:ascii="Google Sans" w:cs="Google Sans" w:eastAsia="Google Sans" w:hAnsi="Google Sans"/>
            <w:color w:val="0000ee"/>
            <w:sz w:val="24"/>
            <w:szCs w:val="24"/>
            <w:u w:val="single"/>
            <w:rtl w:val="0"/>
          </w:rPr>
          <w:t xml:space="preserve">https://www.confluent.io/learn/real-time-streaming-architecture-examples/</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RAG Pipelines: Achieving Sub-Second Latency in Enterprise AI - RT Insights, accessed March 22, 2026, </w:t>
      </w:r>
      <w:hyperlink r:id="rId58">
        <w:r w:rsidDel="00000000" w:rsidR="00000000" w:rsidRPr="00000000">
          <w:rPr>
            <w:rFonts w:ascii="Google Sans" w:cs="Google Sans" w:eastAsia="Google Sans" w:hAnsi="Google Sans"/>
            <w:color w:val="0000ee"/>
            <w:sz w:val="24"/>
            <w:szCs w:val="24"/>
            <w:u w:val="single"/>
            <w:rtl w:val="0"/>
          </w:rPr>
          <w:t xml:space="preserve">https://www.rtinsights.com/real-time-rag-pipelines-achieving-sub-second-latency-in-enterprise-ai/</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RAG Latency Playbook: Batching, Caching, Scope Reduction, Reranking, and Graph RAG | by varun rao | Python in Plain English, accessed March 22, 2026, </w:t>
      </w:r>
      <w:hyperlink r:id="rId59">
        <w:r w:rsidDel="00000000" w:rsidR="00000000" w:rsidRPr="00000000">
          <w:rPr>
            <w:rFonts w:ascii="Google Sans" w:cs="Google Sans" w:eastAsia="Google Sans" w:hAnsi="Google Sans"/>
            <w:color w:val="0000ee"/>
            <w:sz w:val="24"/>
            <w:szCs w:val="24"/>
            <w:u w:val="single"/>
            <w:rtl w:val="0"/>
          </w:rPr>
          <w:t xml:space="preserve">https://python.plainenglish.io/the-rag-latency-playbook-batching-caching-scope-reduction-reranking-and-graph-rag-b85dae5cdfb7</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Vector RAG? Complete Guide to AI Retrieval 2026 - Articsledge, accessed March 22, 2026, </w:t>
      </w:r>
      <w:hyperlink r:id="rId60">
        <w:r w:rsidDel="00000000" w:rsidR="00000000" w:rsidRPr="00000000">
          <w:rPr>
            <w:rFonts w:ascii="Google Sans" w:cs="Google Sans" w:eastAsia="Google Sans" w:hAnsi="Google Sans"/>
            <w:color w:val="0000ee"/>
            <w:sz w:val="24"/>
            <w:szCs w:val="24"/>
            <w:u w:val="single"/>
            <w:rtl w:val="0"/>
          </w:rPr>
          <w:t xml:space="preserve">https://www.articsledge.com/post/vector-rag-retrieval-augmented-generation</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vs. traditional search: Is AI ready for local search in 2026? - Birdeye, accessed March 22, 2026, </w:t>
      </w:r>
      <w:hyperlink r:id="rId61">
        <w:r w:rsidDel="00000000" w:rsidR="00000000" w:rsidRPr="00000000">
          <w:rPr>
            <w:rFonts w:ascii="Google Sans" w:cs="Google Sans" w:eastAsia="Google Sans" w:hAnsi="Google Sans"/>
            <w:color w:val="0000ee"/>
            <w:sz w:val="24"/>
            <w:szCs w:val="24"/>
            <w:u w:val="single"/>
            <w:rtl w:val="0"/>
          </w:rPr>
          <w:t xml:space="preserve">https://birdeye.com/blog/llm-vs-traditional-local-search-accuracy-report/</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Back at AI Search in 2025: What It Changed for AI Local Discovery in 2026, accessed March 22, 2026, </w:t>
      </w:r>
      <w:hyperlink r:id="rId62">
        <w:r w:rsidDel="00000000" w:rsidR="00000000" w:rsidRPr="00000000">
          <w:rPr>
            <w:rFonts w:ascii="Google Sans" w:cs="Google Sans" w:eastAsia="Google Sans" w:hAnsi="Google Sans"/>
            <w:color w:val="0000ee"/>
            <w:sz w:val="24"/>
            <w:szCs w:val="24"/>
            <w:u w:val="single"/>
            <w:rtl w:val="0"/>
          </w:rPr>
          <w:t xml:space="preserve">https://www.pinmeto.com/blog/ai-local-discovery</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Seamless Data Pipeline with Neo4j CDC and GCP Pub/Sub, accessed March 22, 2026, </w:t>
      </w:r>
      <w:hyperlink r:id="rId63">
        <w:r w:rsidDel="00000000" w:rsidR="00000000" w:rsidRPr="00000000">
          <w:rPr>
            <w:rFonts w:ascii="Google Sans" w:cs="Google Sans" w:eastAsia="Google Sans" w:hAnsi="Google Sans"/>
            <w:color w:val="0000ee"/>
            <w:sz w:val="24"/>
            <w:szCs w:val="24"/>
            <w:u w:val="single"/>
            <w:rtl w:val="0"/>
          </w:rPr>
          <w:t xml:space="preserve">https://neo4j.com/blog/graph-database/seamless-data-pipeline-neo4j-and-google-cloud-pub-sub/</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Data Capture and Neo4j Connector for Confluent and Apache Kafka Go GA, accessed March 22, 2026, </w:t>
      </w:r>
      <w:hyperlink r:id="rId64">
        <w:r w:rsidDel="00000000" w:rsidR="00000000" w:rsidRPr="00000000">
          <w:rPr>
            <w:rFonts w:ascii="Google Sans" w:cs="Google Sans" w:eastAsia="Google Sans" w:hAnsi="Google Sans"/>
            <w:color w:val="0000ee"/>
            <w:sz w:val="24"/>
            <w:szCs w:val="24"/>
            <w:u w:val="single"/>
            <w:rtl w:val="0"/>
          </w:rPr>
          <w:t xml:space="preserve">https://neo4j.com/blog/developer/change-data-capture-cdc-ga/</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Just Got Its Biggest Upgrade That Will Change AI Development in 2026 - Medium, accessed March 22, 2026, </w:t>
      </w:r>
      <w:hyperlink r:id="rId65">
        <w:r w:rsidDel="00000000" w:rsidR="00000000" w:rsidRPr="00000000">
          <w:rPr>
            <w:rFonts w:ascii="Google Sans" w:cs="Google Sans" w:eastAsia="Google Sans" w:hAnsi="Google Sans"/>
            <w:color w:val="0000ee"/>
            <w:sz w:val="24"/>
            <w:szCs w:val="24"/>
            <w:u w:val="single"/>
            <w:rtl w:val="0"/>
          </w:rPr>
          <w:t xml:space="preserve">https://medium.com/@DevBoostLab/graphrag-biggest-upgrade-ai-development-2026-33366891525d</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Launches Breakthrough Architecture to Unify Transactional and Operational Workloads, accessed March 22, 2026, </w:t>
      </w:r>
      <w:hyperlink r:id="rId66">
        <w:r w:rsidDel="00000000" w:rsidR="00000000" w:rsidRPr="00000000">
          <w:rPr>
            <w:rFonts w:ascii="Google Sans" w:cs="Google Sans" w:eastAsia="Google Sans" w:hAnsi="Google Sans"/>
            <w:color w:val="0000ee"/>
            <w:sz w:val="24"/>
            <w:szCs w:val="24"/>
            <w:u w:val="single"/>
            <w:rtl w:val="0"/>
          </w:rPr>
          <w:t xml:space="preserve">https://neo4j.com/blog/graph-database/infinigraph-scalable-architecture/</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50: Transparency Obligations for Providers and Deployers of Certain AI Systems | EU Artificial Intelligence Act, accessed March 22, 2026, </w:t>
      </w:r>
      <w:hyperlink r:id="rId67">
        <w:r w:rsidDel="00000000" w:rsidR="00000000" w:rsidRPr="00000000">
          <w:rPr>
            <w:rFonts w:ascii="Google Sans" w:cs="Google Sans" w:eastAsia="Google Sans" w:hAnsi="Google Sans"/>
            <w:color w:val="0000ee"/>
            <w:sz w:val="24"/>
            <w:szCs w:val="24"/>
            <w:u w:val="single"/>
            <w:rtl w:val="0"/>
          </w:rPr>
          <w:t xml:space="preserve">https://artificialintelligenceact.eu/article/50/</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Transparency obligations for AI‑generated content under the EU AI Act: From principle to practice, accessed March 22, 2026, </w:t>
      </w:r>
      <w:hyperlink r:id="rId68">
        <w:r w:rsidDel="00000000" w:rsidR="00000000" w:rsidRPr="00000000">
          <w:rPr>
            <w:rFonts w:ascii="Google Sans" w:cs="Google Sans" w:eastAsia="Google Sans" w:hAnsi="Google Sans"/>
            <w:color w:val="0000ee"/>
            <w:sz w:val="24"/>
            <w:szCs w:val="24"/>
            <w:u w:val="single"/>
            <w:rtl w:val="0"/>
          </w:rPr>
          <w:t xml:space="preserve">https://www.hsfkramer.com/notes/ip/2026-03/transparency-obligations-for-ai-generated-content-under-the-eu-ai-act-from-principle-to-practice</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AI Policy Deadline March 11: Compliance Guide, accessed March 22, 2026, </w:t>
      </w:r>
      <w:hyperlink r:id="rId69">
        <w:r w:rsidDel="00000000" w:rsidR="00000000" w:rsidRPr="00000000">
          <w:rPr>
            <w:rFonts w:ascii="Google Sans" w:cs="Google Sans" w:eastAsia="Google Sans" w:hAnsi="Google Sans"/>
            <w:color w:val="0000ee"/>
            <w:sz w:val="24"/>
            <w:szCs w:val="24"/>
            <w:u w:val="single"/>
            <w:rtl w:val="0"/>
          </w:rPr>
          <w:t xml:space="preserve">https://www.digitalapplied.com/blog/ftc-ai-policy-deadline-march-11-compliance-readiness</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Taking the EU AI Act to Practice Understanding the Draft Transparency Code of Practice, accessed March 22, 2026, </w:t>
      </w:r>
      <w:hyperlink r:id="rId70">
        <w:r w:rsidDel="00000000" w:rsidR="00000000" w:rsidRPr="00000000">
          <w:rPr>
            <w:rFonts w:ascii="Google Sans" w:cs="Google Sans" w:eastAsia="Google Sans" w:hAnsi="Google Sans"/>
            <w:color w:val="0000ee"/>
            <w:sz w:val="24"/>
            <w:szCs w:val="24"/>
            <w:u w:val="single"/>
            <w:rtl w:val="0"/>
          </w:rPr>
          <w:t xml:space="preserve">https://www.twobirds.com/en/insights/2026/taking-the-eu-ai-act-to-practice-understanding-the-draft-transparency-code-of-practice</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False Ad Suit Shows Need for Clear, Conspicuous Disclosure - Carlton Fields, accessed March 22, 2026, </w:t>
      </w:r>
      <w:hyperlink r:id="rId71">
        <w:r w:rsidDel="00000000" w:rsidR="00000000" w:rsidRPr="00000000">
          <w:rPr>
            <w:rFonts w:ascii="Google Sans" w:cs="Google Sans" w:eastAsia="Google Sans" w:hAnsi="Google Sans"/>
            <w:color w:val="0000ee"/>
            <w:sz w:val="24"/>
            <w:szCs w:val="24"/>
            <w:u w:val="single"/>
            <w:rtl w:val="0"/>
          </w:rPr>
          <w:t xml:space="preserve">https://www.carltonfields.com/insights/publications/2026/false-ad-suit-shows-need-for-clear-conspicuous-disclosure-law360</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Effective Disclosures in Digital Advertising - Federal Trade Commission, accessed March 22, 2026, </w:t>
      </w:r>
      <w:hyperlink r:id="rId72">
        <w:r w:rsidDel="00000000" w:rsidR="00000000" w:rsidRPr="00000000">
          <w:rPr>
            <w:rFonts w:ascii="Google Sans" w:cs="Google Sans" w:eastAsia="Google Sans" w:hAnsi="Google Sans"/>
            <w:color w:val="0000ee"/>
            <w:sz w:val="24"/>
            <w:szCs w:val="24"/>
            <w:u w:val="single"/>
            <w:rtl w:val="0"/>
          </w:rPr>
          <w:t xml:space="preserve">https://www.ftc.gov/system/files/documents/plain-language/bus41-dot-com-disclosures-information-about-online-advertising.pdf</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Trump Administration Issues Executive Order Prioritizing "Made in America" Enforcement, accessed March 22, 2026, </w:t>
      </w:r>
      <w:hyperlink r:id="rId73">
        <w:r w:rsidDel="00000000" w:rsidR="00000000" w:rsidRPr="00000000">
          <w:rPr>
            <w:rFonts w:ascii="Google Sans" w:cs="Google Sans" w:eastAsia="Google Sans" w:hAnsi="Google Sans"/>
            <w:color w:val="0000ee"/>
            <w:sz w:val="24"/>
            <w:szCs w:val="24"/>
            <w:u w:val="single"/>
            <w:rtl w:val="0"/>
          </w:rPr>
          <w:t xml:space="preserve">https://www.jdsupra.com/legalnews/trump-administration-issues-executive-5335188/</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Complaint Counsel's Notice of Supplemental Authority - Federal Trade Commission, accessed March 22, 2026, </w:t>
      </w:r>
      <w:hyperlink r:id="rId74">
        <w:r w:rsidDel="00000000" w:rsidR="00000000" w:rsidRPr="00000000">
          <w:rPr>
            <w:rFonts w:ascii="Google Sans" w:cs="Google Sans" w:eastAsia="Google Sans" w:hAnsi="Google Sans"/>
            <w:color w:val="0000ee"/>
            <w:sz w:val="24"/>
            <w:szCs w:val="24"/>
            <w:u w:val="single"/>
            <w:rtl w:val="0"/>
          </w:rPr>
          <w:t xml:space="preserve">https://www.ftc.gov/system/files/ftc_gov/pdf/614652.2026.01.12_ccs_notice_of_supplemental_authority.pdf</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Medium's FTC Problem: How Compliant Are Affiliate Disclosures? | by GinAngieLa.com | Activated Thinker, accessed March 22, 2026, </w:t>
      </w:r>
      <w:hyperlink r:id="rId75">
        <w:r w:rsidDel="00000000" w:rsidR="00000000" w:rsidRPr="00000000">
          <w:rPr>
            <w:rFonts w:ascii="Google Sans" w:cs="Google Sans" w:eastAsia="Google Sans" w:hAnsi="Google Sans"/>
            <w:color w:val="0000ee"/>
            <w:sz w:val="24"/>
            <w:szCs w:val="24"/>
            <w:u w:val="single"/>
            <w:rtl w:val="0"/>
          </w:rPr>
          <w:t xml:space="preserve">https://medium.com/activated-thinker/mediums-ftc-problem-how-compliant-are-affiliate-disclosures-8d1d919d1fc1</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Podcast - Social Media Advertising and the FTC: Deception and the Architecture of Compliance | Insights | Holland &amp; Knight, accessed March 22, 2026, </w:t>
      </w:r>
      <w:hyperlink r:id="rId76">
        <w:r w:rsidDel="00000000" w:rsidR="00000000" w:rsidRPr="00000000">
          <w:rPr>
            <w:rFonts w:ascii="Google Sans" w:cs="Google Sans" w:eastAsia="Google Sans" w:hAnsi="Google Sans"/>
            <w:color w:val="0000ee"/>
            <w:sz w:val="24"/>
            <w:szCs w:val="24"/>
            <w:u w:val="single"/>
            <w:rtl w:val="0"/>
          </w:rPr>
          <w:t xml:space="preserve">https://www.hklaw.com/en/insights/media-entities/2026/01/podcast-social-media-advertising-and-the-ftc</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Disclosures Still a Focus in Interactive Media | Sheppard - JDSupra, accessed March 22, 2026, </w:t>
      </w:r>
      <w:hyperlink r:id="rId77">
        <w:r w:rsidDel="00000000" w:rsidR="00000000" w:rsidRPr="00000000">
          <w:rPr>
            <w:rFonts w:ascii="Google Sans" w:cs="Google Sans" w:eastAsia="Google Sans" w:hAnsi="Google Sans"/>
            <w:color w:val="0000ee"/>
            <w:sz w:val="24"/>
            <w:szCs w:val="24"/>
            <w:u w:val="single"/>
            <w:rtl w:val="0"/>
          </w:rPr>
          <w:t xml:space="preserve">https://www.jdsupra.com/legalnews/ftc-disclosures-still-a-focus-in-5635548/</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FTC Ad Disclosures - AdAmigo.ai Blog, accessed March 22, 2026, </w:t>
      </w:r>
      <w:hyperlink r:id="rId78">
        <w:r w:rsidDel="00000000" w:rsidR="00000000" w:rsidRPr="00000000">
          <w:rPr>
            <w:rFonts w:ascii="Google Sans" w:cs="Google Sans" w:eastAsia="Google Sans" w:hAnsi="Google Sans"/>
            <w:color w:val="0000ee"/>
            <w:sz w:val="24"/>
            <w:szCs w:val="24"/>
            <w:u w:val="single"/>
            <w:rtl w:val="0"/>
          </w:rPr>
          <w:t xml:space="preserve">https://www.adamigo.ai/blog/ultimate-guide-to-ftc-ad-disclosures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Reviews Are In: FTC Flags Potential Violations of Consumer Reviews Rule | BCLP, accessed March 22, 2026, </w:t>
      </w:r>
      <w:hyperlink r:id="rId79">
        <w:r w:rsidDel="00000000" w:rsidR="00000000" w:rsidRPr="00000000">
          <w:rPr>
            <w:rFonts w:ascii="Google Sans" w:cs="Google Sans" w:eastAsia="Google Sans" w:hAnsi="Google Sans"/>
            <w:color w:val="0000ee"/>
            <w:sz w:val="24"/>
            <w:szCs w:val="24"/>
            <w:u w:val="single"/>
            <w:rtl w:val="0"/>
          </w:rPr>
          <w:t xml:space="preserve">https://www.bclplaw.com/en-US/events-insights-news/early-reviews-are-in-ftc-flags-potential-violations-of-consumer-reviews-rule.html</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Decay Rate Statistics: 20 Critical Facts Every GTM Leader Should Know in 2026 | Landbase, accessed March 22, 2026, </w:t>
      </w:r>
      <w:hyperlink r:id="rId80">
        <w:r w:rsidDel="00000000" w:rsidR="00000000" w:rsidRPr="00000000">
          <w:rPr>
            <w:rFonts w:ascii="Google Sans" w:cs="Google Sans" w:eastAsia="Google Sans" w:hAnsi="Google Sans"/>
            <w:color w:val="0000ee"/>
            <w:sz w:val="24"/>
            <w:szCs w:val="24"/>
            <w:u w:val="single"/>
            <w:rtl w:val="0"/>
          </w:rPr>
          <w:t xml:space="preserve">https://www.landbase.com/blog/data-decay-rate-statistics</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Allens AI Australian law benchmark: The results, accessed March 22, 2026, </w:t>
      </w:r>
      <w:hyperlink r:id="rId81">
        <w:r w:rsidDel="00000000" w:rsidR="00000000" w:rsidRPr="00000000">
          <w:rPr>
            <w:rFonts w:ascii="Google Sans" w:cs="Google Sans" w:eastAsia="Google Sans" w:hAnsi="Google Sans"/>
            <w:color w:val="0000ee"/>
            <w:sz w:val="24"/>
            <w:szCs w:val="24"/>
            <w:u w:val="single"/>
            <w:rtl w:val="0"/>
          </w:rPr>
          <w:t xml:space="preserve">https://www.allens.com.au/insights-news/explore/2025/the-allens-ai-australian-law-benchmark-2025/the-results/</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Shocking LLM Usage Statistics for 2026 - Tenet, accessed March 22, 2026, </w:t>
      </w:r>
      <w:hyperlink r:id="rId82">
        <w:r w:rsidDel="00000000" w:rsidR="00000000" w:rsidRPr="00000000">
          <w:rPr>
            <w:rFonts w:ascii="Google Sans" w:cs="Google Sans" w:eastAsia="Google Sans" w:hAnsi="Google Sans"/>
            <w:color w:val="0000ee"/>
            <w:sz w:val="24"/>
            <w:szCs w:val="24"/>
            <w:u w:val="single"/>
            <w:rtl w:val="0"/>
          </w:rPr>
          <w:t xml:space="preserve">https://www.wearetenet.com/blog/llm-usage-statistics</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Dominance and Analog Decline: Thailand's 2026 Economic 'Rising Stars' Revealed, accessed March 22, 2026, </w:t>
      </w:r>
      <w:hyperlink r:id="rId83">
        <w:r w:rsidDel="00000000" w:rsidR="00000000" w:rsidRPr="00000000">
          <w:rPr>
            <w:rFonts w:ascii="Google Sans" w:cs="Google Sans" w:eastAsia="Google Sans" w:hAnsi="Google Sans"/>
            <w:color w:val="0000ee"/>
            <w:sz w:val="24"/>
            <w:szCs w:val="24"/>
            <w:u w:val="single"/>
            <w:rtl w:val="0"/>
          </w:rPr>
          <w:t xml:space="preserve">https://www.nationthailand.com/business/economy/40060215</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Thailand's Tech Industry Outlook for 2026 - Tilleke &amp; Gibbins, accessed March 22, 2026, </w:t>
      </w:r>
      <w:hyperlink r:id="rId84">
        <w:r w:rsidDel="00000000" w:rsidR="00000000" w:rsidRPr="00000000">
          <w:rPr>
            <w:rFonts w:ascii="Google Sans" w:cs="Google Sans" w:eastAsia="Google Sans" w:hAnsi="Google Sans"/>
            <w:color w:val="0000ee"/>
            <w:sz w:val="24"/>
            <w:szCs w:val="24"/>
            <w:u w:val="single"/>
            <w:rtl w:val="0"/>
          </w:rPr>
          <w:t xml:space="preserve">https://www.tilleke.com/insights/thailands-tech-industry-outlook-for-2026/</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Thailand Industry Outlook 2026-2028, accessed March 22, 2026, </w:t>
      </w:r>
      <w:hyperlink r:id="rId85">
        <w:r w:rsidDel="00000000" w:rsidR="00000000" w:rsidRPr="00000000">
          <w:rPr>
            <w:rFonts w:ascii="Google Sans" w:cs="Google Sans" w:eastAsia="Google Sans" w:hAnsi="Google Sans"/>
            <w:color w:val="0000ee"/>
            <w:sz w:val="24"/>
            <w:szCs w:val="24"/>
            <w:u w:val="single"/>
            <w:rtl w:val="0"/>
          </w:rPr>
          <w:t xml:space="preserve">https://www.krungsri.com/en/research/industry/summary-outlook/2026-2028</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 Memgraph, accessed March 22, 2026, </w:t>
      </w:r>
      <w:hyperlink r:id="rId86">
        <w:r w:rsidDel="00000000" w:rsidR="00000000" w:rsidRPr="00000000">
          <w:rPr>
            <w:rFonts w:ascii="Google Sans" w:cs="Google Sans" w:eastAsia="Google Sans" w:hAnsi="Google Sans"/>
            <w:color w:val="0000ee"/>
            <w:sz w:val="24"/>
            <w:szCs w:val="24"/>
            <w:u w:val="single"/>
            <w:rtl w:val="0"/>
          </w:rPr>
          <w:t xml:space="preserve">https://memgraph.com/docs/ai-ecosystem/graph-rag</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Stream-Triggered RAG (STAG): When Your AI Stops Waiting and Starts Watching | by Juluri Mridula | Jan, 2026 | Medium, accessed March 22, 2026, </w:t>
      </w:r>
      <w:hyperlink r:id="rId87">
        <w:r w:rsidDel="00000000" w:rsidR="00000000" w:rsidRPr="00000000">
          <w:rPr>
            <w:rFonts w:ascii="Google Sans" w:cs="Google Sans" w:eastAsia="Google Sans" w:hAnsi="Google Sans"/>
            <w:color w:val="0000ee"/>
            <w:sz w:val="24"/>
            <w:szCs w:val="24"/>
            <w:u w:val="single"/>
            <w:rtl w:val="0"/>
          </w:rPr>
          <w:t xml:space="preserve">https://medium.com/@juluri.mridula/stream-triggered-rag-stag-when-your-ai-stops-waiting-and-starts-watching-2bf39052ce41</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SURVIVAL: WHAT A 2026-READY SME REALLY LOOKS LIKE - Innovation Lab, accessed March 22, 2026, </w:t>
      </w:r>
      <w:hyperlink r:id="rId88">
        <w:r w:rsidDel="00000000" w:rsidR="00000000" w:rsidRPr="00000000">
          <w:rPr>
            <w:rFonts w:ascii="Google Sans" w:cs="Google Sans" w:eastAsia="Google Sans" w:hAnsi="Google Sans"/>
            <w:color w:val="0000ee"/>
            <w:sz w:val="24"/>
            <w:szCs w:val="24"/>
            <w:u w:val="single"/>
            <w:rtl w:val="0"/>
          </w:rPr>
          <w:t xml:space="preserve">https://innolab.asia/2026/01/21/beyond-survival-what-a-2026-ready-sme-really-looks-like</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Broke B**ch's Guide to Tech Start-up: Choosing Vector Database — Part 2 Cloud/Serverless Prices | by Soumit Salman Rahman | Medium, accessed March 22, 2026, </w:t>
      </w:r>
      <w:hyperlink r:id="rId89">
        <w:r w:rsidDel="00000000" w:rsidR="00000000" w:rsidRPr="00000000">
          <w:rPr>
            <w:rFonts w:ascii="Google Sans" w:cs="Google Sans" w:eastAsia="Google Sans" w:hAnsi="Google Sans"/>
            <w:color w:val="0000ee"/>
            <w:sz w:val="24"/>
            <w:szCs w:val="24"/>
            <w:u w:val="single"/>
            <w:rtl w:val="0"/>
          </w:rPr>
          <w:t xml:space="preserve">https://medium.com/@soumitsr/a-broke-b-chs-guide-to-tech-start-up-choosing-vector-database-cloud-serverless-prices-3c1ad4c29ce7</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 RAG System Cost? Infrastructure, Development, and Ongoing Expenses, accessed March 22, 2026, </w:t>
      </w:r>
      <w:hyperlink r:id="rId90">
        <w:r w:rsidDel="00000000" w:rsidR="00000000" w:rsidRPr="00000000">
          <w:rPr>
            <w:rFonts w:ascii="Google Sans" w:cs="Google Sans" w:eastAsia="Google Sans" w:hAnsi="Google Sans"/>
            <w:color w:val="0000ee"/>
            <w:sz w:val="24"/>
            <w:szCs w:val="24"/>
            <w:u w:val="single"/>
            <w:rtl w:val="0"/>
          </w:rPr>
          <w:t xml:space="preserve">https://www.alphacorp.ai/blog/how-much-does-a-rag-system-cost-infrastructure-development-and-ongoing-expenses</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Implementation Cost 2026: Real Pricing &amp; ROI Calculator - Stratagem Systems, accessed March 22, 2026, </w:t>
      </w:r>
      <w:hyperlink r:id="rId91">
        <w:r w:rsidDel="00000000" w:rsidR="00000000" w:rsidRPr="00000000">
          <w:rPr>
            <w:rFonts w:ascii="Google Sans" w:cs="Google Sans" w:eastAsia="Google Sans" w:hAnsi="Google Sans"/>
            <w:color w:val="0000ee"/>
            <w:sz w:val="24"/>
            <w:szCs w:val="24"/>
            <w:u w:val="single"/>
            <w:rtl w:val="0"/>
          </w:rPr>
          <w:t xml:space="preserve">https://www.stratagem-systems.com/blog/rag-implementation-cost-roi-analysis</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Swapping spreadsheets for solutions: Building smarter climate reporting for SMEs, accessed March 22, 2026, </w:t>
      </w:r>
      <w:hyperlink r:id="rId92">
        <w:r w:rsidDel="00000000" w:rsidR="00000000" w:rsidRPr="00000000">
          <w:rPr>
            <w:rFonts w:ascii="Google Sans" w:cs="Google Sans" w:eastAsia="Google Sans" w:hAnsi="Google Sans"/>
            <w:color w:val="0000ee"/>
            <w:sz w:val="24"/>
            <w:szCs w:val="24"/>
            <w:u w:val="single"/>
            <w:rtl w:val="0"/>
          </w:rPr>
          <w:t xml:space="preserve">https://www.weforum.org/stories/2026/01/building-smarter-climate-reporting-for-smes/</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Cost Pressures &amp; Growth Opportunities for SMEs in 2026 - IT News Africa, accessed March 22, 2026, </w:t>
      </w:r>
      <w:hyperlink r:id="rId93">
        <w:r w:rsidDel="00000000" w:rsidR="00000000" w:rsidRPr="00000000">
          <w:rPr>
            <w:rFonts w:ascii="Google Sans" w:cs="Google Sans" w:eastAsia="Google Sans" w:hAnsi="Google Sans"/>
            <w:color w:val="0000ee"/>
            <w:sz w:val="24"/>
            <w:szCs w:val="24"/>
            <w:u w:val="single"/>
            <w:rtl w:val="0"/>
          </w:rPr>
          <w:t xml:space="preserve">https://www.itnewsafrica.com/2026/01/top-cost-pressures-growth-opportunities-for-smes-in-2026/</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Production-Ready Architecture for AI Agents: Compute, Memory, and Observability - GreenNode, accessed March 22, 2026, </w:t>
      </w:r>
      <w:hyperlink r:id="rId94">
        <w:r w:rsidDel="00000000" w:rsidR="00000000" w:rsidRPr="00000000">
          <w:rPr>
            <w:rFonts w:ascii="Google Sans" w:cs="Google Sans" w:eastAsia="Google Sans" w:hAnsi="Google Sans"/>
            <w:color w:val="0000ee"/>
            <w:sz w:val="24"/>
            <w:szCs w:val="24"/>
            <w:u w:val="single"/>
            <w:rtl w:val="0"/>
          </w:rPr>
          <w:t xml:space="preserve">https://greennode.ai/blog/designing-production-ready-architecture-for-ai-agents</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Praxis - Medium, accessed March 22, 2026, </w:t>
      </w:r>
      <w:hyperlink r:id="rId95">
        <w:r w:rsidDel="00000000" w:rsidR="00000000" w:rsidRPr="00000000">
          <w:rPr>
            <w:rFonts w:ascii="Google Sans" w:cs="Google Sans" w:eastAsia="Google Sans" w:hAnsi="Google Sans"/>
            <w:color w:val="0000ee"/>
            <w:sz w:val="24"/>
            <w:szCs w:val="24"/>
            <w:u w:val="single"/>
            <w:rtl w:val="0"/>
          </w:rPr>
          <w:t xml:space="preserve">https://medium.com/graph-praxis/all?year=2026</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GraphRAG-RS: Production-Ready Knowledge Graph Platform with Multi-Interface Architecture | by Carlo C. | GoPenAI, accessed March 22, 2026, </w:t>
      </w:r>
      <w:hyperlink r:id="rId96">
        <w:r w:rsidDel="00000000" w:rsidR="00000000" w:rsidRPr="00000000">
          <w:rPr>
            <w:rFonts w:ascii="Google Sans" w:cs="Google Sans" w:eastAsia="Google Sans" w:hAnsi="Google Sans"/>
            <w:color w:val="0000ee"/>
            <w:sz w:val="24"/>
            <w:szCs w:val="24"/>
            <w:u w:val="single"/>
            <w:rtl w:val="0"/>
          </w:rPr>
          <w:t xml:space="preserve">https://blog.gopenai.com/graphrag-rs-production-ready-knowledge-graph-platform-with-multi-interface-architecture-a45d41fbeea6</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LLMs in 2026: Ranking the Most Powerful AI Models - Whistler Billboards, accessed March 22, 2026, </w:t>
      </w:r>
      <w:hyperlink r:id="rId97">
        <w:r w:rsidDel="00000000" w:rsidR="00000000" w:rsidRPr="00000000">
          <w:rPr>
            <w:rFonts w:ascii="Google Sans" w:cs="Google Sans" w:eastAsia="Google Sans" w:hAnsi="Google Sans"/>
            <w:color w:val="0000ee"/>
            <w:sz w:val="24"/>
            <w:szCs w:val="24"/>
            <w:u w:val="single"/>
            <w:rtl w:val="0"/>
          </w:rPr>
          <w:t xml:space="preserve">https://www.whistlerbillboards.com/friday-feature/top-llms-2026/</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LLM-Powered Applications: The Real Business Impact in 2025 | by Vamsi Nellutla | Medium, accessed March 22, 2026, </w:t>
      </w:r>
      <w:hyperlink r:id="rId98">
        <w:r w:rsidDel="00000000" w:rsidR="00000000" w:rsidRPr="00000000">
          <w:rPr>
            <w:rFonts w:ascii="Google Sans" w:cs="Google Sans" w:eastAsia="Google Sans" w:hAnsi="Google Sans"/>
            <w:color w:val="0000ee"/>
            <w:sz w:val="24"/>
            <w:szCs w:val="24"/>
            <w:u w:val="single"/>
            <w:rtl w:val="0"/>
          </w:rPr>
          <w:t xml:space="preserve">https://medium.com/@vamsinellutla/llm-powered-applications-the-real-business-impact-in-2025-1b82efe17a4f</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Graph-Driven AI for All: Neo4j Aura Agent Enters General Availability, accessed March 22, 2026, </w:t>
      </w:r>
      <w:hyperlink r:id="rId99">
        <w:r w:rsidDel="00000000" w:rsidR="00000000" w:rsidRPr="00000000">
          <w:rPr>
            <w:rFonts w:ascii="Google Sans" w:cs="Google Sans" w:eastAsia="Google Sans" w:hAnsi="Google Sans"/>
            <w:color w:val="0000ee"/>
            <w:sz w:val="24"/>
            <w:szCs w:val="24"/>
            <w:u w:val="single"/>
            <w:rtl w:val="0"/>
          </w:rPr>
          <w:t xml:space="preserve">https://neo4j.com/blog/agentic-ai/neo4j-launches-aura-agent/</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BrandRank.AI, accessed March 22, 2026, </w:t>
      </w:r>
      <w:hyperlink r:id="rId100">
        <w:r w:rsidDel="00000000" w:rsidR="00000000" w:rsidRPr="00000000">
          <w:rPr>
            <w:rFonts w:ascii="Google Sans" w:cs="Google Sans" w:eastAsia="Google Sans" w:hAnsi="Google Sans"/>
            <w:color w:val="0000ee"/>
            <w:sz w:val="24"/>
            <w:szCs w:val="24"/>
            <w:u w:val="single"/>
            <w:rtl w:val="0"/>
          </w:rPr>
          <w:t xml:space="preserve">https://www.brandrank.ai/</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 Monitoring - Neo4j Connector for Kafka, accessed March 22, 2026, </w:t>
      </w:r>
      <w:hyperlink r:id="rId101">
        <w:r w:rsidDel="00000000" w:rsidR="00000000" w:rsidRPr="00000000">
          <w:rPr>
            <w:rFonts w:ascii="Google Sans" w:cs="Google Sans" w:eastAsia="Google Sans" w:hAnsi="Google Sans"/>
            <w:color w:val="0000ee"/>
            <w:sz w:val="24"/>
            <w:szCs w:val="24"/>
            <w:u w:val="single"/>
            <w:rtl w:val="0"/>
          </w:rPr>
          <w:t xml:space="preserve">https://neo4j.com/docs/kafka/current/source/monitoring/</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Trends for Data Streaming with Apache Kafka and Flink in 2026 - Kai Waehner, accessed March 22, 2026, </w:t>
      </w:r>
      <w:hyperlink r:id="rId102">
        <w:r w:rsidDel="00000000" w:rsidR="00000000" w:rsidRPr="00000000">
          <w:rPr>
            <w:rFonts w:ascii="Google Sans" w:cs="Google Sans" w:eastAsia="Google Sans" w:hAnsi="Google Sans"/>
            <w:color w:val="0000ee"/>
            <w:sz w:val="24"/>
            <w:szCs w:val="24"/>
            <w:u w:val="single"/>
            <w:rtl w:val="0"/>
          </w:rPr>
          <w:t xml:space="preserve">https://www.kai-waehner.de/blog/2025/12/10/top-trends-for-data-streaming-with-apache-kafka-and-flink-in-2026/</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and Address Legal Risk in Your Subscriber Flow - Subscription Insider, accessed March 22, 2026, </w:t>
      </w:r>
      <w:hyperlink r:id="rId103">
        <w:r w:rsidDel="00000000" w:rsidR="00000000" w:rsidRPr="00000000">
          <w:rPr>
            <w:rFonts w:ascii="Google Sans" w:cs="Google Sans" w:eastAsia="Google Sans" w:hAnsi="Google Sans"/>
            <w:color w:val="0000ee"/>
            <w:sz w:val="24"/>
            <w:szCs w:val="24"/>
            <w:u w:val="single"/>
            <w:rtl w:val="0"/>
          </w:rPr>
          <w:t xml:space="preserve">https://www.subscriptioninsider.com/topics/pricing/how-to-identify-and-address-legal-risk-in-your-subscriber-flow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uchbase.com/blog/graph-rag-vs-vector-rag/" TargetMode="External"/><Relationship Id="rId42" Type="http://schemas.openxmlformats.org/officeDocument/2006/relationships/hyperlink" Target="https://aimultiple.com/graph-rag" TargetMode="External"/><Relationship Id="rId41" Type="http://schemas.openxmlformats.org/officeDocument/2006/relationships/hyperlink" Target="https://flur.ee/fluree-blog/graphrag-knowledge-graphs-making-your-data-ai-ready-for-2026/" TargetMode="External"/><Relationship Id="rId44" Type="http://schemas.openxmlformats.org/officeDocument/2006/relationships/hyperlink" Target="https://sellermetrics.app/rising-amazon-ad-cpcs/" TargetMode="External"/><Relationship Id="rId43" Type="http://schemas.openxmlformats.org/officeDocument/2006/relationships/hyperlink" Target="https://www.cio.com/article/4097012/new-software-pricing-metrics-will-force-cios-to-change-negotiating-tactics.html" TargetMode="External"/><Relationship Id="rId46" Type="http://schemas.openxmlformats.org/officeDocument/2006/relationships/hyperlink" Target="https://digitalnomadshq.com.au/blog/how-much-does-google-ads-cost/" TargetMode="External"/><Relationship Id="rId45" Type="http://schemas.openxmlformats.org/officeDocument/2006/relationships/hyperlink" Target="https://www.amraandelma.com/top-cost-per-click-statistics/" TargetMode="External"/><Relationship Id="rId48" Type="http://schemas.openxmlformats.org/officeDocument/2006/relationships/hyperlink" Target="https://landingi.com/digital-advertising/ad-costs/" TargetMode="External"/><Relationship Id="rId47" Type="http://schemas.openxmlformats.org/officeDocument/2006/relationships/hyperlink" Target="https://www.smecofe.com/post/rising-business-costs-and-economic-uncertainty-how-smes-can-stay-confident-and-in-control-in-2026" TargetMode="External"/><Relationship Id="rId49" Type="http://schemas.openxmlformats.org/officeDocument/2006/relationships/hyperlink" Target="https://www.marketingtechnews.net/news/answer-engine-optimization-aeo-a-comprehensive-guide-for-2026/" TargetMode="External"/><Relationship Id="rId103" Type="http://schemas.openxmlformats.org/officeDocument/2006/relationships/hyperlink" Target="https://www.subscriptioninsider.com/topics/pricing/how-to-identify-and-address-legal-risk-in-your-subscriber-flow" TargetMode="External"/><Relationship Id="rId102" Type="http://schemas.openxmlformats.org/officeDocument/2006/relationships/hyperlink" Target="https://www.kai-waehner.de/blog/2025/12/10/top-trends-for-data-streaming-with-apache-kafka-and-flink-in-2026/" TargetMode="External"/><Relationship Id="rId101" Type="http://schemas.openxmlformats.org/officeDocument/2006/relationships/hyperlink" Target="https://neo4j.com/docs/kafka/current/source/monitoring/" TargetMode="External"/><Relationship Id="rId100" Type="http://schemas.openxmlformats.org/officeDocument/2006/relationships/hyperlink" Target="https://www.brandrank.ai/" TargetMode="External"/><Relationship Id="rId31" Type="http://schemas.openxmlformats.org/officeDocument/2006/relationships/hyperlink" Target="https://www.techment.com/blogs/rag-models-2026-enterprise-ai/" TargetMode="External"/><Relationship Id="rId30" Type="http://schemas.openxmlformats.org/officeDocument/2006/relationships/hyperlink" Target="https://neo4j.com/blog/developer/rag-tutorial/" TargetMode="External"/><Relationship Id="rId33" Type="http://schemas.openxmlformats.org/officeDocument/2006/relationships/hyperlink" Target="https://c3.unu.edu/projects/ai/deepresearch/demo_research-report_searchengine1.html" TargetMode="External"/><Relationship Id="rId32" Type="http://schemas.openxmlformats.org/officeDocument/2006/relationships/hyperlink" Target="https://medium.com/@spjosyula2005/the-production-rag-architecture-a-complete-guide-to-building-enterprise-grade-65d24292fcea" TargetMode="External"/><Relationship Id="rId35" Type="http://schemas.openxmlformats.org/officeDocument/2006/relationships/hyperlink" Target="https://venturebeat.com/ai/from-shiny-object-to-sober-reality-the-vector-database-story-two-years-later" TargetMode="External"/><Relationship Id="rId34" Type="http://schemas.openxmlformats.org/officeDocument/2006/relationships/hyperlink" Target="https://pub.towardsai.net/building-a-modern-rag-pipeline-in-2026-qwen3-embeddings-and-vector-database-in-qdrant-ebeca2bbe338" TargetMode="External"/><Relationship Id="rId37" Type="http://schemas.openxmlformats.org/officeDocument/2006/relationships/hyperlink" Target="https://arcadedb.com/blog/neo4j-alternatives-in-2026-a-fair-look-at-the-open-source-options/" TargetMode="External"/><Relationship Id="rId36" Type="http://schemas.openxmlformats.org/officeDocument/2006/relationships/hyperlink" Target="https://www.indium.tech/blog/high-speed-vector-indexing-low-latency-rag-pipelines/" TargetMode="External"/><Relationship Id="rId39" Type="http://schemas.openxmlformats.org/officeDocument/2006/relationships/hyperlink" Target="https://www.puppygraph.com/blog/janusgraph-vs-neo4j" TargetMode="External"/><Relationship Id="rId38" Type="http://schemas.openxmlformats.org/officeDocument/2006/relationships/hyperlink" Target="https://neo4j.com/blog/genai/vector-search-with-filters-in-neo4j-v2026-01-preview/" TargetMode="External"/><Relationship Id="rId20" Type="http://schemas.openxmlformats.org/officeDocument/2006/relationships/image" Target="media/image8.pn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hyperlink" Target="https://www.businesswire.com/news/home/20260317270984/en/From-Search-Rankings-to-AI-Answers-Reputation-Marks-20-Years-by-Defining-How-Brands-Build-Trust-Get-Found-and-Drive-Revenue-in-the-AI-Era" TargetMode="External"/><Relationship Id="rId23" Type="http://schemas.openxmlformats.org/officeDocument/2006/relationships/hyperlink" Target="https://www.dacgroup.com/insights/blog/strategy/the-2026-marketing-trends-report-26-moves-to-accelerate-your-marketing-performance/" TargetMode="External"/><Relationship Id="rId26" Type="http://schemas.openxmlformats.org/officeDocument/2006/relationships/hyperlink" Target="https://pub.towardsai.net/9-rag-architectures-that-stop-ai-hallucinations-89-of-developers-get-this-wrong-df7afd807d9f" TargetMode="External"/><Relationship Id="rId25" Type="http://schemas.openxmlformats.org/officeDocument/2006/relationships/hyperlink" Target="https://evolvagency.io/learn/generative-search/llm-statistics-2026" TargetMode="External"/><Relationship Id="rId28" Type="http://schemas.openxmlformats.org/officeDocument/2006/relationships/hyperlink" Target="https://www.ibm.com/think/topics/graphrag" TargetMode="External"/><Relationship Id="rId27" Type="http://schemas.openxmlformats.org/officeDocument/2006/relationships/hyperlink" Target="https://pub.aimind.so/rag-architecture-cheat-sheet-pick-the-right-rag-in-60-seconds-fa28a4f9ff53" TargetMode="External"/><Relationship Id="rId29" Type="http://schemas.openxmlformats.org/officeDocument/2006/relationships/hyperlink" Target="https://atlan.com/know/knowledge-graphs-vs-rag-for-ai/" TargetMode="External"/><Relationship Id="rId95" Type="http://schemas.openxmlformats.org/officeDocument/2006/relationships/hyperlink" Target="https://medium.com/graph-praxis/all?year=2026" TargetMode="External"/><Relationship Id="rId94" Type="http://schemas.openxmlformats.org/officeDocument/2006/relationships/hyperlink" Target="https://greennode.ai/blog/designing-production-ready-architecture-for-ai-agents" TargetMode="External"/><Relationship Id="rId97" Type="http://schemas.openxmlformats.org/officeDocument/2006/relationships/hyperlink" Target="https://www.whistlerbillboards.com/friday-feature/top-llms-2026/" TargetMode="External"/><Relationship Id="rId96" Type="http://schemas.openxmlformats.org/officeDocument/2006/relationships/hyperlink" Target="https://blog.gopenai.com/graphrag-rs-production-ready-knowledge-graph-platform-with-multi-interface-architecture-a45d41fbeea6" TargetMode="External"/><Relationship Id="rId11" Type="http://schemas.openxmlformats.org/officeDocument/2006/relationships/image" Target="media/image11.png"/><Relationship Id="rId99" Type="http://schemas.openxmlformats.org/officeDocument/2006/relationships/hyperlink" Target="https://neo4j.com/blog/agentic-ai/neo4j-launches-aura-agent/" TargetMode="External"/><Relationship Id="rId10" Type="http://schemas.openxmlformats.org/officeDocument/2006/relationships/image" Target="media/image2.png"/><Relationship Id="rId98" Type="http://schemas.openxmlformats.org/officeDocument/2006/relationships/hyperlink" Target="https://medium.com/@vamsinellutla/llm-powered-applications-the-real-business-impact-in-2025-1b82efe17a4f" TargetMode="External"/><Relationship Id="rId13" Type="http://schemas.openxmlformats.org/officeDocument/2006/relationships/image" Target="media/image7.png"/><Relationship Id="rId12" Type="http://schemas.openxmlformats.org/officeDocument/2006/relationships/image" Target="media/image16.png"/><Relationship Id="rId91" Type="http://schemas.openxmlformats.org/officeDocument/2006/relationships/hyperlink" Target="https://www.stratagem-systems.com/blog/rag-implementation-cost-roi-analysis" TargetMode="External"/><Relationship Id="rId90" Type="http://schemas.openxmlformats.org/officeDocument/2006/relationships/hyperlink" Target="https://www.alphacorp.ai/blog/how-much-does-a-rag-system-cost-infrastructure-development-and-ongoing-expenses" TargetMode="External"/><Relationship Id="rId93" Type="http://schemas.openxmlformats.org/officeDocument/2006/relationships/hyperlink" Target="https://www.itnewsafrica.com/2026/01/top-cost-pressures-growth-opportunities-for-smes-in-2026/" TargetMode="External"/><Relationship Id="rId92" Type="http://schemas.openxmlformats.org/officeDocument/2006/relationships/hyperlink" Target="https://www.weforum.org/stories/2026/01/building-smarter-climate-reporting-for-smes/" TargetMode="External"/><Relationship Id="rId15" Type="http://schemas.openxmlformats.org/officeDocument/2006/relationships/image" Target="media/image1.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14.png"/><Relationship Id="rId19" Type="http://schemas.openxmlformats.org/officeDocument/2006/relationships/image" Target="media/image13.png"/><Relationship Id="rId18" Type="http://schemas.openxmlformats.org/officeDocument/2006/relationships/image" Target="media/image9.png"/><Relationship Id="rId84" Type="http://schemas.openxmlformats.org/officeDocument/2006/relationships/hyperlink" Target="https://www.tilleke.com/insights/thailands-tech-industry-outlook-for-2026/" TargetMode="External"/><Relationship Id="rId83" Type="http://schemas.openxmlformats.org/officeDocument/2006/relationships/hyperlink" Target="https://www.nationthailand.com/business/economy/40060215" TargetMode="External"/><Relationship Id="rId86" Type="http://schemas.openxmlformats.org/officeDocument/2006/relationships/hyperlink" Target="https://memgraph.com/docs/ai-ecosystem/graph-rag" TargetMode="External"/><Relationship Id="rId85" Type="http://schemas.openxmlformats.org/officeDocument/2006/relationships/hyperlink" Target="https://www.krungsri.com/en/research/industry/summary-outlook/2026-2028" TargetMode="External"/><Relationship Id="rId88" Type="http://schemas.openxmlformats.org/officeDocument/2006/relationships/hyperlink" Target="https://innolab.asia/2026/01/21/beyond-survival-what-a-2026-ready-sme-really-looks-like" TargetMode="External"/><Relationship Id="rId87" Type="http://schemas.openxmlformats.org/officeDocument/2006/relationships/hyperlink" Target="https://medium.com/@juluri.mridula/stream-triggered-rag-stag-when-your-ai-stops-waiting-and-starts-watching-2bf39052ce41" TargetMode="External"/><Relationship Id="rId89" Type="http://schemas.openxmlformats.org/officeDocument/2006/relationships/hyperlink" Target="https://medium.com/@soumitsr/a-broke-b-chs-guide-to-tech-start-up-choosing-vector-database-cloud-serverless-prices-3c1ad4c29ce7" TargetMode="External"/><Relationship Id="rId80" Type="http://schemas.openxmlformats.org/officeDocument/2006/relationships/hyperlink" Target="https://www.landbase.com/blog/data-decay-rate-statistics" TargetMode="External"/><Relationship Id="rId82" Type="http://schemas.openxmlformats.org/officeDocument/2006/relationships/hyperlink" Target="https://www.wearetenet.com/blog/llm-usage-statistics" TargetMode="External"/><Relationship Id="rId81" Type="http://schemas.openxmlformats.org/officeDocument/2006/relationships/hyperlink" Target="https://www.allens.com.au/insights-news/explore/2025/the-allens-ai-australian-law-benchmark-2025/the-resul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5.png"/><Relationship Id="rId73" Type="http://schemas.openxmlformats.org/officeDocument/2006/relationships/hyperlink" Target="https://www.jdsupra.com/legalnews/trump-administration-issues-executive-5335188/" TargetMode="External"/><Relationship Id="rId72" Type="http://schemas.openxmlformats.org/officeDocument/2006/relationships/hyperlink" Target="https://www.ftc.gov/system/files/documents/plain-language/bus41-dot-com-disclosures-information-about-online-advertising.pdf" TargetMode="External"/><Relationship Id="rId75" Type="http://schemas.openxmlformats.org/officeDocument/2006/relationships/hyperlink" Target="https://medium.com/activated-thinker/mediums-ftc-problem-how-compliant-are-affiliate-disclosures-8d1d919d1fc1" TargetMode="External"/><Relationship Id="rId74" Type="http://schemas.openxmlformats.org/officeDocument/2006/relationships/hyperlink" Target="https://www.ftc.gov/system/files/ftc_gov/pdf/614652.2026.01.12_ccs_notice_of_supplemental_authority.pdf" TargetMode="External"/><Relationship Id="rId77" Type="http://schemas.openxmlformats.org/officeDocument/2006/relationships/hyperlink" Target="https://www.jdsupra.com/legalnews/ftc-disclosures-still-a-focus-in-5635548/" TargetMode="External"/><Relationship Id="rId76" Type="http://schemas.openxmlformats.org/officeDocument/2006/relationships/hyperlink" Target="https://www.hklaw.com/en/insights/media-entities/2026/01/podcast-social-media-advertising-and-the-ftc" TargetMode="External"/><Relationship Id="rId79" Type="http://schemas.openxmlformats.org/officeDocument/2006/relationships/hyperlink" Target="https://www.bclplaw.com/en-US/events-insights-news/early-reviews-are-in-ftc-flags-potential-violations-of-consumer-reviews-rule.html" TargetMode="External"/><Relationship Id="rId78" Type="http://schemas.openxmlformats.org/officeDocument/2006/relationships/hyperlink" Target="https://www.adamigo.ai/blog/ultimate-guide-to-ftc-ad-disclosures" TargetMode="External"/><Relationship Id="rId71" Type="http://schemas.openxmlformats.org/officeDocument/2006/relationships/hyperlink" Target="https://www.carltonfields.com/insights/publications/2026/false-ad-suit-shows-need-for-clear-conspicuous-disclosure-law360" TargetMode="External"/><Relationship Id="rId70" Type="http://schemas.openxmlformats.org/officeDocument/2006/relationships/hyperlink" Target="https://www.twobirds.com/en/insights/2026/taking-the-eu-ai-act-to-practice-understanding-the-draft-transparency-code-of-practice" TargetMode="External"/><Relationship Id="rId62" Type="http://schemas.openxmlformats.org/officeDocument/2006/relationships/hyperlink" Target="https://www.pinmeto.com/blog/ai-local-discovery" TargetMode="External"/><Relationship Id="rId61" Type="http://schemas.openxmlformats.org/officeDocument/2006/relationships/hyperlink" Target="https://birdeye.com/blog/llm-vs-traditional-local-search-accuracy-report/" TargetMode="External"/><Relationship Id="rId64" Type="http://schemas.openxmlformats.org/officeDocument/2006/relationships/hyperlink" Target="https://neo4j.com/blog/developer/change-data-capture-cdc-ga/" TargetMode="External"/><Relationship Id="rId63" Type="http://schemas.openxmlformats.org/officeDocument/2006/relationships/hyperlink" Target="https://neo4j.com/blog/graph-database/seamless-data-pipeline-neo4j-and-google-cloud-pub-sub/" TargetMode="External"/><Relationship Id="rId66" Type="http://schemas.openxmlformats.org/officeDocument/2006/relationships/hyperlink" Target="https://neo4j.com/blog/graph-database/infinigraph-scalable-architecture/" TargetMode="External"/><Relationship Id="rId65" Type="http://schemas.openxmlformats.org/officeDocument/2006/relationships/hyperlink" Target="https://medium.com/@DevBoostLab/graphrag-biggest-upgrade-ai-development-2026-33366891525d" TargetMode="External"/><Relationship Id="rId68" Type="http://schemas.openxmlformats.org/officeDocument/2006/relationships/hyperlink" Target="https://www.hsfkramer.com/notes/ip/2026-03/transparency-obligations-for-ai-generated-content-under-the-eu-ai-act-from-principle-to-practice" TargetMode="External"/><Relationship Id="rId67" Type="http://schemas.openxmlformats.org/officeDocument/2006/relationships/hyperlink" Target="https://artificialintelligenceact.eu/article/50/" TargetMode="External"/><Relationship Id="rId60" Type="http://schemas.openxmlformats.org/officeDocument/2006/relationships/hyperlink" Target="https://www.articsledge.com/post/vector-rag-retrieval-augmented-generation" TargetMode="External"/><Relationship Id="rId69" Type="http://schemas.openxmlformats.org/officeDocument/2006/relationships/hyperlink" Target="https://www.digitalapplied.com/blog/ftc-ai-policy-deadline-march-11-compliance-readiness" TargetMode="External"/><Relationship Id="rId51" Type="http://schemas.openxmlformats.org/officeDocument/2006/relationships/hyperlink" Target="https://thatware.co/ai-search-visibility-scorecard/" TargetMode="External"/><Relationship Id="rId50" Type="http://schemas.openxmlformats.org/officeDocument/2006/relationships/hyperlink" Target="https://www.brandradar.ai/resources/measure-generative-engine-optimization-visibility" TargetMode="External"/><Relationship Id="rId53" Type="http://schemas.openxmlformats.org/officeDocument/2006/relationships/hyperlink" Target="https://sedestral.com/en/blog/ai-search-market-share-2026" TargetMode="External"/><Relationship Id="rId52" Type="http://schemas.openxmlformats.org/officeDocument/2006/relationships/hyperlink" Target="https://blog.9cv9.com/top-10-ai-tools-for-ai-overviews-and-zero-click-search-optimization-in-2026/" TargetMode="External"/><Relationship Id="rId55" Type="http://schemas.openxmlformats.org/officeDocument/2006/relationships/hyperlink" Target="https://www.striim.com/blog/real-time-rag-streaming-vector-embeddings-and-low-latency-ai-search/" TargetMode="External"/><Relationship Id="rId54" Type="http://schemas.openxmlformats.org/officeDocument/2006/relationships/hyperlink" Target="https://anamaps.com/blog/best-llm-for-analytics" TargetMode="External"/><Relationship Id="rId57" Type="http://schemas.openxmlformats.org/officeDocument/2006/relationships/hyperlink" Target="https://www.confluent.io/learn/real-time-streaming-architecture-examples/" TargetMode="External"/><Relationship Id="rId56" Type="http://schemas.openxmlformats.org/officeDocument/2006/relationships/hyperlink" Target="https://caylent.com/blog/introduction-to-real-time-rag" TargetMode="External"/><Relationship Id="rId59" Type="http://schemas.openxmlformats.org/officeDocument/2006/relationships/hyperlink" Target="https://python.plainenglish.io/the-rag-latency-playbook-batching-caching-scope-reduction-reranking-and-graph-rag-b85dae5cdfb7" TargetMode="External"/><Relationship Id="rId58" Type="http://schemas.openxmlformats.org/officeDocument/2006/relationships/hyperlink" Target="https://www.rtinsights.com/real-time-rag-pipelines-achieving-sub-second-latency-in-enterpris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