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LocalPlus Post-Search Discovery Infrastructure: A Comprehensive Technical and Economic Analysis of the Generative Answer Economy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search engines to generative discovery layers marks the most significant structural change in digital information retrieval since the inception of the commercial internet. In the early months of 2026, the digital landscape has shifted from a model predicated on the "Keyword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Click" sequence to a more sophisticated "Intent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Action"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driven by the reality that nearly sixty percent of searches now culminate without a single click to an external website, as users increasingly rely on synthesized AI summaries to navigate their daily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this context, LocalPlus emerges as a specialized city-level AI discovery infrastructure, designed to serve as the post-search Discovery Layer for local economies.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effectively reimagines the role of advertising in a generative environment, moving from competing for Page Rank to competing for Answer Inclusion.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evaluates the technical architecture, economic primitives, and regulatory boundaries of the LocalPlus engine, assessing its viability as the foundational "AdWords for the Generative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Foundations of Weighted Retrieval-Augmented Generation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engine of the LocalPlus infrastructure is built upon a Weighted Retrieval-Augmented Generation (RAG) framework, a departure from the "naive" RAG systems that dominated the initial wave of generative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architectural choice to prioritize a weighted model is a direct response to the "semantic flattening" problem seen in standard vector-only Large Language Models (LLMs), where the subtle nuances of local civic hierarchies and real-time relationship mapping are often lost.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externalizing knowledge into a structured repository, LocalPlus ensures that responses are grounded in verifiable, city-specific data rather than the probabilistic guesses of global frontier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retrieval layer utilizes a hybrid framework, combining Lexical (BM25) search for exact keyword matching with Dense Vector Retrieval for capturing semantic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synthesis addresses the fundamental limitations of single-mode retrieval; keyword methods excel at precision but lack conceptual depth, while vector models provide breadth but often struggle with the exactness required for local business queries.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example, a user looking for a specific brand of artisanal coffee in a specific suburb requires the lexical precision of BM25 to find the exact match, whereas a broader intent query regarding "best places for a quiet business meeting with vegan options" necessitates the semantic understanding of dense vector spaces.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 / Inverted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Matching of Entities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at 1 (P@1)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Vector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 Vector Embedding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Intent &amp; Nuance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at K (R@K)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Neo4j Graph-RAG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Multi-hop Hierarchies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 Multi-Objective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for Answer Inclusion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Discounted Cumulative Gain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pivotal innovation within this stack is the integration of Graph-RAG, specifically utilizing a Neo4j-based infrastructure to handle structured local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local economy context, facts are rarely isolated; they exist within a complex web of civic hierarchies, proximity constraints, and service availability.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standard LLMs often struggle with multi-hop reasoning—such as identifying a plumber who is not only licensed in a specific jurisdiction but also currently available and located within a five-kilometer radius—the Graph-RAG approach enables the system to follow explicit relationship chains.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relational moat is critical for preventing the hallucinations common in global models, where AI may fabricate connections between entities that do not exist in the physical local market.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ranking of these results is determined by a multi-objective scoring model that balances organic relevance with commercial viability and user reputation.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weighting of this model is precisely calibrated to maintain user trust while facilitating monetization: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752" cy="64807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08752" cy="6480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formula indicates that while commercial sponsorship is a factor, it is capped at ten percent of the overall score, ensuring that the primary driver of inclusion remains the utility and accuracy of the answer provided to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Influence Funnel and the Transition from CPC to Answer Share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defines its economic primitive as the "Influence Funnel," a tiered structure that monetizes the generative search experience across four distinct layers of visibility.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model is designed to transition small and medium-sized enterprises (SMEs) away from the increasingly volatile Cost Per Click (CPC) environment of 2026 and toward a more stable metric known as "Cost Per Answer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average search CPCs on major platforms have reached historic highs, driven by intensified competition and the emergence of specialized ad formats.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instance, legal services in major metropolitan areas can see search CPCs as high as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an SME, this inflationary pressure makes traditional search auctions unsustainable.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Influence Funnel offers an alternative by monetizing the nature of the AI response itself.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Layers of the Influence Funnel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layer of the funnel is Mentions, representing simple awareness through unlinked inclusion in AI prose.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followed by Citations, which provide authority through clickable source attribution and a "Verified Source"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third layer is Clicks, where high-intent actions—such as requesting a quote or viewing a full profile—are tracked.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layer represents Outcomes, which are completed transactions or bookings facilitated via API integration directly within the discovery interface.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Funnel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Monetization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Prose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CPAS (Cost Per Answer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 &amp;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Partner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Requesting Quote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Per Action (CPA)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Transaction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Booking/Purchase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Commission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 "Answer Share" as the primary KPI for B2B sales reflects a deeper change in consumer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AI engines in 2026 typically compress the decision space into a shortlist of three to five recommendations, being "included" in that shortlist is more valuable than ranking on a page that a user may never scroll through.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Answer Share measures the percentage of responses within a category or location that include a specific business, providing a direct measurement of market share in the discovery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modeling of this transition suggests that traffic from AI discovery platforms achieves significantly higher conversion rates—reported as high as 14.2%—compared to the 2.8% common in traditional organic search.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implies that while the total volume of discovery interactions might be lower than traditional impressions, the quality of "answer-assisted" leads is vastly superior, justifying a premium for inclusion.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Bottlenecks: Real-Time Transactional Latency and Data Decay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technical challenge identified in the LocalPlus evaluation phase is the latency inherent in synchronizing Graph-RAG updates for transactional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city-level infrastructure to be effective, it must reflect real-time status changes, such as a business being "Sold Out" or a service becoming "Available Now," with 99%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a radical departure from the batch-oriented processing of 2023-2025, which often introduced delays of hours or days.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Budgeting for Generative Discovery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AI environments, latency is directly correlated with user retention. Research in 2026 indicates that nearly 68% of production RAG deployments exceed a two-second latency, leading to a 40% drop-off in user engagement.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To maintain a fluid, conversational experience, LocalPlus must achieve sub-second end-to-end response times.</w:t>
      </w:r>
      <w:r w:rsidDel="00000000" w:rsidR="00000000" w:rsidRPr="00000000">
        <w:rPr>
          <w:rFonts w:ascii="Google Sans" w:cs="Google Sans" w:eastAsia="Google Sans" w:hAnsi="Google Sans"/>
          <w:color w:val="444746"/>
          <w:sz w:val="24"/>
          <w:szCs w:val="24"/>
          <w:vertAlign w:val="superscript"/>
          <w:rtl w:val="0"/>
        </w:rPr>
        <w:t xml:space="preserve">37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RAG Pipeline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Budget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&amp; CDC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Log-based Change Data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GPU-accelerated Models (e.g., Qwen3)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 Graph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In-memory Index-free Adjacency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Cross-Encoders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Inference (TTFT)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Language Model (SLM) Optimization</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"Live-Graph" architecture addresses the "Hyper-Local Decay" problem seen in global models like Gemini or GPT-5.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global models suffer from significant accuracy degradation outside of major metropolitan hubs, particularly in markets like Australia and Thailand.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suburban and rural ZIP codes, LLMs are frequently found to surface businesses that have been closed for months or to provide incorrect operating hours.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Statistical benchmarks from early 2026 suggest that general-purpose models fail to maintain correct local status for more than thirty percent of businesses in these regions.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solves this through a streaming ingestion pipeline centered on Neo4j Change Data Capture (CDC) and Kafka.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tapping directly into the transaction logs of local business systems, the "Live-Graph" ensures that every update is emitted as an event and reflected in the AI's context window within seconds.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managing this synchronization at a city-level scale presents a "Three-Index Problem," where text, vector, and graph indexes must be updated simultaneously without compromising query performance.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use of distributed graph architectures like "Infinigraph" is proposed to allow horizontal scaling and support for billions of relationships while maintaining sub-second latency targets.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The Conflict Between Symbolic Disclosure and Transparency Mandates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research boundary for LocalPlus is the regulatory validity of its "Symbolic Disclosure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monetize AI prose while maintaining user trust, the platform embeds a "Language of Visibility" directly in the generative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utilizes specific symbols—the Middle Dot (·), Dagger (†), Star (★), and Arrow (→)—to denote various levels of commercial influence.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2026 regulatory landscape, particularly the EU AI Act and updated Federal Trade Commission (FTC) guidelines, transparency is no longer a design preference but a legal mandate.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 AI Act (Article 50) requires that AI-generated synthetic content be identifiable as such in a "clear and distinguishable manner" and provided in a "machine-readable format".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EU's Draft Code of Practice (March 2026) suggests a uniform "AI" visual cue for across-the-board disclosure, raising questions about whether proprietary symbolic ciphers meet the standard of recognizability.</w:t>
      </w:r>
      <w:r w:rsidDel="00000000" w:rsidR="00000000" w:rsidRPr="00000000">
        <w:rPr>
          <w:rFonts w:ascii="Google Sans" w:cs="Google Sans" w:eastAsia="Google Sans" w:hAnsi="Google Sans"/>
          <w:color w:val="444746"/>
          <w:sz w:val="24"/>
          <w:szCs w:val="24"/>
          <w:vertAlign w:val="superscript"/>
          <w:rtl w:val="0"/>
        </w:rPr>
        <w:t xml:space="preserve">47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Concern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 Dot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Promoted Mention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it "obvious" advertising to a layperson?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Dagger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 Paid 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it meet "Clear and Conspicuous"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Featured / Premium Partner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Could it be confused with organic ratings?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Arrow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the commercial nature disclosed before interaction?</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FTC's 2026 AI Policy Statement emphasizes that disclosures must be "unavoidable" and "prominently displayed".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LocalPlus protocol utilizes "Progressive Disclosure," requiring user interaction (e.g., hovering or clicking) to reveal the nature of the influence.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may conflict with FTC standards that prohibit burying material terms behind hyperlinks or requiring additional user actions to find mandatory disclosures.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FTC distinguishes between AI as a tool and AI as a creator.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Content classified as "Tier 1: AI-Generated" (where AI produces the majority of the output) requires full disclosure.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the context of LocalPlus, where prose is entirely synthesized by the engine, the burden of proof for transparency is exceptionally high.</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legal "net impression" of the answer is the deciding factor; if a user perceives the response as a neutral, objective recommendation while it is influenced by a paid sponsorship, the platform risks substantial civil penalties—up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violation—for deceptive practices.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Local Business Data Decay in APAC Markets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advantage of LocalPlus is predicated on the measurable failure of big-tech LLMs to maintain accurate hyper-local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decay is an accelerating crisis; B2B contact data decays at a staggering 70.3% annually, and the monthly decay rate has risen to 3.6% as of late 2024.</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local discovery, this means that even a model updated quarterly is fundamentally obsolete within weeks.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Modes in Australia and Thailand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Allens AI Australian law benchmark (2025) and subsequent market studies reveal that models like GPT-4o and Gemini 2.0, while improving in reasoning, continue to struggle with jurisdictional specificity and hyper-local facts.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Australia, models have been documented citing non-existent case law or erroneously applying UK or US precedents to Australian business regulations.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a local consumer, this decay manifests in practical inconveniences: incorrect pricing on menus, outdated service offerings, and failure to account for seasonal or public holiday hour changes.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Thailand, the rapid structural shift toward a digital-first economy has created a high-velocity environment where businesses are digitizing at an unprecedented rate.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Belief-based businesses (Mutelu) and local retailers are using AI-powered consultations and online marketplaces, yet the global training sets of frontier models often miss these emerging entities entirely.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 2026 forecast by the University of the Thai Chamber of Commerce indicates that while tech-driven sectors are scoring near-perfect sales alignments, the "analog downfall" is leaving many traditional retail data points in global LLMs as ghosts of businesses that no longer exist.</w:t>
      </w:r>
      <w:r w:rsidDel="00000000" w:rsidR="00000000" w:rsidRPr="00000000">
        <w:rPr>
          <w:rFonts w:ascii="Google Sans" w:cs="Google Sans" w:eastAsia="Google Sans" w:hAnsi="Google Sans"/>
          <w:color w:val="444746"/>
          <w:sz w:val="24"/>
          <w:szCs w:val="24"/>
          <w:vertAlign w:val="superscript"/>
          <w:rtl w:val="0"/>
        </w:rPr>
        <w:t xml:space="preserve">62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Point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Big-Tech LLM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LocalPlus Target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of Decay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Operating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arrives at closed shop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booking attempts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Pricing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Bait-and-switch complaints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Jurisdictional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risk for SMEs</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LocalPlus's use of a "Live-Graph" and streaming RAG architecture is designed to mitigate this decay by ensuring that the AI's "internal library" is never older than 60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proactive stance on data freshness is a critical differentiator for businesses whose profitability depends on the accuracy of real-time signals, such as inventory levels or appointment availability.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Economics and Modeling the Transition for SMEs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viability of LocalPlus depends on providing a scalable, cost-efficient alternative to traditional digital 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Saas and AI platforms shift toward consumption-based pricing models, SMEs are being forced to treat AI usage as an operational budget item similar to travel or energy expenses.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and Operating Costs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production-grade RAG system in 2026 involves significant upfront and ongoing investment.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For an enterprise-scale implementation (100K+ documents), initial build costs can range from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monthly operating costs between </w:t>
      </w:r>
      <w:r w:rsidDel="00000000" w:rsidR="00000000" w:rsidRPr="00000000">
        <w:rPr>
          <w:rFonts w:ascii="Google Sans" w:cs="Google Sans" w:eastAsia="Google Sans" w:hAnsi="Google Sans"/>
          <w:color w:val="1f1f1f"/>
        </w:rPr>
        <w:drawing>
          <wp:inline distB="19050" distT="19050" distL="19050" distR="19050">
            <wp:extent cx="543222" cy="219195"/>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3222" cy="21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69</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SME Budget (Small)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Budget (Large)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Cost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DB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22312" cy="228267"/>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122312" cy="2282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Count /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API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47542" cy="229186"/>
                  <wp:effectExtent b="0" l="0" r="0" t="0"/>
                  <wp:docPr id="1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47542" cy="22918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Volume / Token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14438" cy="227707"/>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14438" cy="2277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Rate / Update Freq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&amp; SRE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5416" cy="228333"/>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655416" cy="2283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SLAs</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"Cost Per Answer Share" (CPAS) allows LocalPlus to aggregate these costs across thousands of participants, offering a "pay-for-visibility" model that is accessible even to smaller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reflects the broader trend of "building smarter" for SMEs, where collaborative ecosystems and AI-driven optimization are essential for survival in a low-margin, high-inflation environment.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For many SMEs, the ROI of a discovery infrastructure is realized through a 60% reduction in compliance research time and a 40% reduction in customer support ticket resolution times.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CPAS model must also account for the "Ontology Tax"—the hidden cost of designing, maintaining, and governing the knowledge graph.</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Without proper entity resolution and hierarchical community detection, Graph-RAG accuracy on complex questions can be as low as 43%.</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LocalPlus addresses this through "GleaningEntityExtractor" protocols, which use iterative rounds of extraction and validation to ensure that the graph remains clean and useful for reasoning.</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and the Future of Discovery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positions itself as a specialized alternative to the "Hyper-Local Decay" inherent in the models of big-tech giants.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players like Google and Apple are deepening AI integration inside their existing Maps and Search ecosystems, they remain tethered to global dataset refresh cycles.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Google Gemini, for instance, dominates the retail sector with a 43% market share but remains vulnerable to accuracy issues outside of high-density metropolitan centers.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competitive advantage for LocalPlus lies in its "Graph-First" view of data, which complements the event-driven architecture of modern cloud ecosystems.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providing "accurate agentic GraphRAG," LocalPlus enables a new generation of autonomous business processes that can orchestrate end-to-end workflows—from discovery to transaction—with minimal human oversight by 2026.</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traditional search engine volume is predicted to drop by 25% by the end of 2026, the value of the "Prompted Moment of Truth" will only increase.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Brands that focus on "Answer Engine Optimization" (AEO)—prioritizing semantic authority, factual depth, and machine-readable data—will secure their place in the compressed decision space of the generative future.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Conclusions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evaluation of the LocalPlus discovery infrastructure in March 2026 indicates a system that is technologically mature yet faces evolving regulatory and economic pressures. The foundational thesis—replacing keyword auctions with answer inclusion—is validated by the widespread adoption of zero-click search and the 60% reduction in CTR for traditional organic results.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Strategic Takeaways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"moat" provided by the Neo4j-based Graph-RAG integration is essential for providing the relational context that vector-only search lacks.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30-second default refresh interval currently seen in many Kafka-CDC pipelines may be insufficient for high-frequency transactional data, suggesting a need for sub-second streaming optimizations.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Achieving this level of performance requires a shift toward "Shift Left" architectures, where data is enriched and analyzed as it flows through the streaming layer.</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transition for SMEs from CPC to CPAS offers a sustainable path forward but necessitates the development of standardized "Answer Share" analytics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Influence Funnel provides a sophisticated framework for this monetization, but its success depends on maintaining a conversion rate advantage over traditional organic traffic.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benchmarks indicating a five-fold conversion advantage for "answer-assisted" leads provide a strong business case for this shift.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conflict regarding "Symbolic Disclosure" remains the highest risk factor for the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Progressive disclosure elements, while elegant from a design perspective, may not satisfy the "unavoidable and prominent" standard set by the FTC and EU regulators in 2026.</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hybrid approach—combining symbolic markers with clear, text-based introductory notices (e.g., "AI-Generated Results Include Sponsored Inclusions")—is recommended to de-risk the platform's long-term deployment.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LocalPlus represents a highly advanced and necessary infrastructure for the generative era. By solving the hyper-local decay problem through the Live-Graph and establishing the Influence Funnel as a new economic primitive, the platform is well-positioned to lead the transition into a post-search discovery world. The success of the project will ultimately depend on its ability to navigate the complex interplay between real-time technical performance, SME budget predictability, and the stringent transparency requirements of global AI governance.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LocalPlus- Project Grounding Pack (v1.0).rtf</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marketing trends report: 26 moves to accelerate your marketing performance,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https://www.dacgroup.com/insights/blog/strategy/the-2026-marketing-trends-report-26-moves-to-accelerate-your-marketing-performance/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Search Rankings to AI Answers: Reputation Marks 20 Years by Defining How Brands Build Trust, Get Found and Drive Revenue in the AI Era - Business Wire,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https://www.businesswire.com/news/home/20260317270984/en/From-Search-Rankings-to-AI-Answers-Reputation-Marks-20-Years-by-Defining-How-Brands-Build-Trust-Get-Found-and-Drive-Revenue-in-the-AI-Era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Statistics 2026: Where 800 Million Users Are Searching Instead of Google - evolv.,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https://evolvagency.io/learn/generative-search/llm-statistics-2026</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RAG Architectures That Stop AI Hallucinations (89% of Developers Get This Wrong),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https://pub.towardsai.net/9-rag-architectures-that-stop-ai-hallucinations-89-of-developers-get-this-wrong-df7afd807d9f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Architecture Cheat Sheet: Pick the Right RAG in 60 Seconds | by Robi Kumar Tomar | AI Mind,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https://pub.aimind.so/rag-architecture-cheat-sheet-pick-the-right-rag-in-60-seconds-fa28a4f9ff53</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IBM,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https://www.ibm.com/think/topics/graphrag</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Graphs vs RAG: When to Use Each for AI in 2026 - Atlan,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https://atlan.com/know/knowledge-graphs-vs-rag-for-ai/</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Tutorial: How to Build a RAG System on a Knowledge Graph - Neo4j,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https://neo4j.com/blog/developer/rag-tutorial/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2026: How Retrieval-Augmented Generation Works for Enterprise AI,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https://www.techment.com/blogs/rag-models-2026-enterprise-ai/</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Production RAG Architecture Nobody Teaches: A Complete Guide to Building Enterprise-Grade Retrieval Systems - Medium,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https://medium.com/@spjosyula2005/the-production-rag-architecture-a-complete-guide-to-building-enterprise-grade-65d24292fcea</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of Advanced Retrieval and RAG Architectures: State-of-the-Art Research,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https://c3.unu.edu/projects/ai/deepresearch/demo_research-report_searchengine1.html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Modern RAG Agent in 2026: Qwen3 Embeddings and Vector Database in Qdrant.,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https://pub.towardsai.net/building-a-modern-rag-pipeline-in-2026-qwen3-embeddings-and-vector-database-in-qdrant-ebeca2bbe338</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shiny object to sober reality: The vector database story, two years later | VentureBeat,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https://venturebeat.com/ai/from-shiny-object-to-sober-reality-the-vector-database-story-two-years-later</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High-Speed Vector Indexing for Low-Latency RAG Pipelines - Indium Software,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https://www.indium.tech/blog/high-speed-vector-indexing-low-latency-rag-pipelines/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Alternatives in 2026: A Fair Look at the Open-Source Options - ArcadeDB,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https://arcadedb.com/blog/neo4j-alternatives-in-2026-a-fair-look-at-the-open-source-options/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with filters in Neo4j v2026.01 (Preview),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https://neo4j.com/blog/genai/vector-search-with-filters-in-neo4j-v2026-01-preview/</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Janusgraph vs Neo4j : Key Differences &amp; Comparison - PuppyGraph,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https://www.puppygraph.com/blog/janusgraph-vs-neo4j</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Breakdown of Graph RAG vs. Vector RAG - The Couchbase Blog,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https://www.couchbase.com/blog/graph-rag-vs-vector-rag/</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&amp; Knowledge Graphs: Making Your Data AI-Ready for 2026 - Fluree,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https://flur.ee/fluree-blog/graphrag-knowledge-graphs-making-your-data-ai-ready-for-2026/</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RAG vs Vector RAG Benchmark - AIMultiple,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https://aimultiple.com/graph-rag</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software pricing metrics will force CIOs to change negotiating tactics,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https://www.cio.com/article/4097012/new-software-pricing-metrics-will-force-cios-to-change-negotiating-tactics.html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Amazon CPCs: Why Costs Are Up &amp; How to Stay Profitable,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https://sellermetrics.app/rising-amazon-ad-cpcs/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COST-PER-CLICK STATISTICS 2026 THAT REVEAL SHOCKING DIGITAL AD COST SURGES - Amra &amp; Elma,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https://www.amraandelma.com/top-cost-per-click-statistics/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Google Ads Cost [2026] + Free Calculator - Digital Nomads HQ,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https://digitalnomadshq.com.au/blog/how-much-does-google-ads-cost/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Business Costs and Economic Uncertainty: How SMEs Can Stay Confident and In Control in 2026 - SME Centre of Excellence,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https://www.smecofe.com/post/rising-business-costs-and-economic-uncertainty-how-smes-can-stay-confident-and-in-control-in-2026</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Advertising Cost: How Much Does Online Advertising Cost in 2026? - Landingi,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https://landingi.com/digital-advertising/ad-costs/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DMWF Spotlight: Answer Engine Optimization (AEO): A comprehensive guide for 2026,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https://www.marketingtechnews.net/news/answer-engine-optimization-aeo-a-comprehensive-guide-for-2026/</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Generative Engine Optimization (GEO) Visibility in 6 Steps - BrandRadar,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https://www.brandradar.ai/resources/measure-generative-engine-optimization-visibility</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AI Search Visibility Scorecard &amp; Why It's the Future of SEO - ThatWare,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https://thatware.co/ai-search-visibility-scorecard/</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AI Overviews and Zero-Click Search Optimization in 2026,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https://blog.9cv9.com/top-10-ai-tools-for-ai-overviews-and-zero-click-search-optimization-in-2026/</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market share 2026: Google vs Chatgpt stats revealed - Sedestral, accessed March 22, 2026, </w:t>
      </w:r>
      <w:hyperlink r:id="rId53">
        <w:r w:rsidDel="00000000" w:rsidR="00000000" w:rsidRPr="00000000">
          <w:rPr>
            <w:rFonts w:ascii="Google Sans" w:cs="Google Sans" w:eastAsia="Google Sans" w:hAnsi="Google Sans"/>
            <w:color w:val="0000ee"/>
            <w:sz w:val="24"/>
            <w:szCs w:val="24"/>
            <w:u w:val="single"/>
            <w:rtl w:val="0"/>
          </w:rPr>
          <w:t xml:space="preserve">https://sedestral.com/en/blog/ai-search-market-share-2026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LLM for Analytics in 2026 (Tested on Real Data) - Anamap, accessed March 22, 2026, </w:t>
      </w:r>
      <w:hyperlink r:id="rId54">
        <w:r w:rsidDel="00000000" w:rsidR="00000000" w:rsidRPr="00000000">
          <w:rPr>
            <w:rFonts w:ascii="Google Sans" w:cs="Google Sans" w:eastAsia="Google Sans" w:hAnsi="Google Sans"/>
            <w:color w:val="0000ee"/>
            <w:sz w:val="24"/>
            <w:szCs w:val="24"/>
            <w:u w:val="single"/>
            <w:rtl w:val="0"/>
          </w:rPr>
          <w:t xml:space="preserve">https://anamaps.com/blog/best-llm-for-analytics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Streaming Vector Embeddings and Low-Latency AI Search - Striim, accessed March 22, 2026, </w:t>
      </w:r>
      <w:hyperlink r:id="rId55">
        <w:r w:rsidDel="00000000" w:rsidR="00000000" w:rsidRPr="00000000">
          <w:rPr>
            <w:rFonts w:ascii="Google Sans" w:cs="Google Sans" w:eastAsia="Google Sans" w:hAnsi="Google Sans"/>
            <w:color w:val="0000ee"/>
            <w:sz w:val="24"/>
            <w:szCs w:val="24"/>
            <w:u w:val="single"/>
            <w:rtl w:val="0"/>
          </w:rPr>
          <w:t xml:space="preserve">https://www.striim.com/blog/real-time-rag-streaming-vector-embeddings-and-low-latency-ai-search/</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Real-Time RAG | Caylent, accessed March 22, 2026, </w:t>
      </w:r>
      <w:hyperlink r:id="rId56">
        <w:r w:rsidDel="00000000" w:rsidR="00000000" w:rsidRPr="00000000">
          <w:rPr>
            <w:rFonts w:ascii="Google Sans" w:cs="Google Sans" w:eastAsia="Google Sans" w:hAnsi="Google Sans"/>
            <w:color w:val="0000ee"/>
            <w:sz w:val="24"/>
            <w:szCs w:val="24"/>
            <w:u w:val="single"/>
            <w:rtl w:val="0"/>
          </w:rPr>
          <w:t xml:space="preserve">https://caylent.com/blog/introduction-to-real-time-rag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Streaming Architecture Examples and Patterns - Confluent, accessed March 22, 2026, </w:t>
      </w:r>
      <w:hyperlink r:id="rId57">
        <w:r w:rsidDel="00000000" w:rsidR="00000000" w:rsidRPr="00000000">
          <w:rPr>
            <w:rFonts w:ascii="Google Sans" w:cs="Google Sans" w:eastAsia="Google Sans" w:hAnsi="Google Sans"/>
            <w:color w:val="0000ee"/>
            <w:sz w:val="24"/>
            <w:szCs w:val="24"/>
            <w:u w:val="single"/>
            <w:rtl w:val="0"/>
          </w:rPr>
          <w:t xml:space="preserve">https://www.confluent.io/learn/real-time-streaming-architecture-examples/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Pipelines: Achieving Sub-Second Latency in Enterprise AI - RT Insights, accessed March 22, 2026, </w:t>
      </w:r>
      <w:hyperlink r:id="rId58">
        <w:r w:rsidDel="00000000" w:rsidR="00000000" w:rsidRPr="00000000">
          <w:rPr>
            <w:rFonts w:ascii="Google Sans" w:cs="Google Sans" w:eastAsia="Google Sans" w:hAnsi="Google Sans"/>
            <w:color w:val="0000ee"/>
            <w:sz w:val="24"/>
            <w:szCs w:val="24"/>
            <w:u w:val="single"/>
            <w:rtl w:val="0"/>
          </w:rPr>
          <w:t xml:space="preserve">https://www.rtinsights.com/real-time-rag-pipelines-achieving-sub-second-latency-in-enterprise-ai/</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RAG Latency Playbook: Batching, Caching, Scope Reduction, Reranking, and Graph RAG | by varun rao | Python in Plain English, accessed March 22, 2026, </w:t>
      </w:r>
      <w:hyperlink r:id="rId59">
        <w:r w:rsidDel="00000000" w:rsidR="00000000" w:rsidRPr="00000000">
          <w:rPr>
            <w:rFonts w:ascii="Google Sans" w:cs="Google Sans" w:eastAsia="Google Sans" w:hAnsi="Google Sans"/>
            <w:color w:val="0000ee"/>
            <w:sz w:val="24"/>
            <w:szCs w:val="24"/>
            <w:u w:val="single"/>
            <w:rtl w:val="0"/>
          </w:rPr>
          <w:t xml:space="preserve">https://python.plainenglish.io/the-rag-latency-playbook-batching-caching-scope-reduction-reranking-and-graph-rag-b85dae5cdfb7</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Vector RAG? Complete Guide to AI Retrieval 2026 - Articsledge, accessed March 22, 2026, </w:t>
      </w:r>
      <w:hyperlink r:id="rId60">
        <w:r w:rsidDel="00000000" w:rsidR="00000000" w:rsidRPr="00000000">
          <w:rPr>
            <w:rFonts w:ascii="Google Sans" w:cs="Google Sans" w:eastAsia="Google Sans" w:hAnsi="Google Sans"/>
            <w:color w:val="0000ee"/>
            <w:sz w:val="24"/>
            <w:szCs w:val="24"/>
            <w:u w:val="single"/>
            <w:rtl w:val="0"/>
          </w:rPr>
          <w:t xml:space="preserve">https://www.articsledge.com/post/vector-rag-retrieval-augmented-generation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traditional search: Is AI ready for local search in 2026? - Birdeye, accessed March 22, 2026, </w:t>
      </w:r>
      <w:hyperlink r:id="rId61">
        <w:r w:rsidDel="00000000" w:rsidR="00000000" w:rsidRPr="00000000">
          <w:rPr>
            <w:rFonts w:ascii="Google Sans" w:cs="Google Sans" w:eastAsia="Google Sans" w:hAnsi="Google Sans"/>
            <w:color w:val="0000ee"/>
            <w:sz w:val="24"/>
            <w:szCs w:val="24"/>
            <w:u w:val="single"/>
            <w:rtl w:val="0"/>
          </w:rPr>
          <w:t xml:space="preserve">https://birdeye.com/blog/llm-vs-traditional-local-search-accuracy-report/</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Back at AI Search in 2025: What It Changed for AI Local Discovery in 2026, accessed March 22, 2026, </w:t>
      </w:r>
      <w:hyperlink r:id="rId62">
        <w:r w:rsidDel="00000000" w:rsidR="00000000" w:rsidRPr="00000000">
          <w:rPr>
            <w:rFonts w:ascii="Google Sans" w:cs="Google Sans" w:eastAsia="Google Sans" w:hAnsi="Google Sans"/>
            <w:color w:val="0000ee"/>
            <w:sz w:val="24"/>
            <w:szCs w:val="24"/>
            <w:u w:val="single"/>
            <w:rtl w:val="0"/>
          </w:rPr>
          <w:t xml:space="preserve">https://www.pinmeto.com/blog/ai-local-discovery</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Seamless Data Pipeline with Neo4j CDC and GCP Pub/Sub, accessed March 22, 2026, </w:t>
      </w:r>
      <w:hyperlink r:id="rId63">
        <w:r w:rsidDel="00000000" w:rsidR="00000000" w:rsidRPr="00000000">
          <w:rPr>
            <w:rFonts w:ascii="Google Sans" w:cs="Google Sans" w:eastAsia="Google Sans" w:hAnsi="Google Sans"/>
            <w:color w:val="0000ee"/>
            <w:sz w:val="24"/>
            <w:szCs w:val="24"/>
            <w:u w:val="single"/>
            <w:rtl w:val="0"/>
          </w:rPr>
          <w:t xml:space="preserve">https://neo4j.com/blog/graph-database/seamless-data-pipeline-neo4j-and-google-cloud-pub-sub/</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Data Capture and Neo4j Connector for Confluent and Apache Kafka Go GA, accessed March 22, 2026, </w:t>
      </w:r>
      <w:hyperlink r:id="rId64">
        <w:r w:rsidDel="00000000" w:rsidR="00000000" w:rsidRPr="00000000">
          <w:rPr>
            <w:rFonts w:ascii="Google Sans" w:cs="Google Sans" w:eastAsia="Google Sans" w:hAnsi="Google Sans"/>
            <w:color w:val="0000ee"/>
            <w:sz w:val="24"/>
            <w:szCs w:val="24"/>
            <w:u w:val="single"/>
            <w:rtl w:val="0"/>
          </w:rPr>
          <w:t xml:space="preserve">https://neo4j.com/blog/developer/change-data-capture-cdc-ga/</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Just Got Its Biggest Upgrade That Will Change AI Development in 2026 - Medium, accessed March 22, 2026, </w:t>
      </w:r>
      <w:hyperlink r:id="rId65">
        <w:r w:rsidDel="00000000" w:rsidR="00000000" w:rsidRPr="00000000">
          <w:rPr>
            <w:rFonts w:ascii="Google Sans" w:cs="Google Sans" w:eastAsia="Google Sans" w:hAnsi="Google Sans"/>
            <w:color w:val="0000ee"/>
            <w:sz w:val="24"/>
            <w:szCs w:val="24"/>
            <w:u w:val="single"/>
            <w:rtl w:val="0"/>
          </w:rPr>
          <w:t xml:space="preserve">https://medium.com/@DevBoostLab/graphrag-biggest-upgrade-ai-development-2026-33366891525d</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Launches Breakthrough Architecture to Unify Transactional and Operational Workloads, accessed March 22, 2026, </w:t>
      </w:r>
      <w:hyperlink r:id="rId66">
        <w:r w:rsidDel="00000000" w:rsidR="00000000" w:rsidRPr="00000000">
          <w:rPr>
            <w:rFonts w:ascii="Google Sans" w:cs="Google Sans" w:eastAsia="Google Sans" w:hAnsi="Google Sans"/>
            <w:color w:val="0000ee"/>
            <w:sz w:val="24"/>
            <w:szCs w:val="24"/>
            <w:u w:val="single"/>
            <w:rtl w:val="0"/>
          </w:rPr>
          <w:t xml:space="preserve">https://neo4j.com/blog/graph-database/infinigraph-scalable-architecture/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50: Transparency Obligations for Providers and Deployers of Certain AI Systems | EU Artificial Intelligence Act, accessed March 22, 2026, </w:t>
      </w:r>
      <w:hyperlink r:id="rId67">
        <w:r w:rsidDel="00000000" w:rsidR="00000000" w:rsidRPr="00000000">
          <w:rPr>
            <w:rFonts w:ascii="Google Sans" w:cs="Google Sans" w:eastAsia="Google Sans" w:hAnsi="Google Sans"/>
            <w:color w:val="0000ee"/>
            <w:sz w:val="24"/>
            <w:szCs w:val="24"/>
            <w:u w:val="single"/>
            <w:rtl w:val="0"/>
          </w:rPr>
          <w:t xml:space="preserve">https://artificialintelligenceact.eu/article/50/</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Transparency obligations for AI‑generated content under the EU AI Act: From principle to practice, accessed March 22, 2026, </w:t>
      </w:r>
      <w:hyperlink r:id="rId68">
        <w:r w:rsidDel="00000000" w:rsidR="00000000" w:rsidRPr="00000000">
          <w:rPr>
            <w:rFonts w:ascii="Google Sans" w:cs="Google Sans" w:eastAsia="Google Sans" w:hAnsi="Google Sans"/>
            <w:color w:val="0000ee"/>
            <w:sz w:val="24"/>
            <w:szCs w:val="24"/>
            <w:u w:val="single"/>
            <w:rtl w:val="0"/>
          </w:rPr>
          <w:t xml:space="preserve">https://www.hsfkramer.com/notes/ip/2026-03/transparency-obligations-for-ai-generated-content-under-the-eu-ai-act-from-principle-to-practice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AI Policy Deadline March 11: Compliance Guide, accessed March 22, 2026, </w:t>
      </w:r>
      <w:hyperlink r:id="rId69">
        <w:r w:rsidDel="00000000" w:rsidR="00000000" w:rsidRPr="00000000">
          <w:rPr>
            <w:rFonts w:ascii="Google Sans" w:cs="Google Sans" w:eastAsia="Google Sans" w:hAnsi="Google Sans"/>
            <w:color w:val="0000ee"/>
            <w:sz w:val="24"/>
            <w:szCs w:val="24"/>
            <w:u w:val="single"/>
            <w:rtl w:val="0"/>
          </w:rPr>
          <w:t xml:space="preserve">https://www.digitalapplied.com/blog/ftc-ai-policy-deadline-march-11-compliance-readiness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the EU AI Act to Practice Understanding the Draft Transparency Code of Practice, accessed March 22, 2026, </w:t>
      </w:r>
      <w:hyperlink r:id="rId70">
        <w:r w:rsidDel="00000000" w:rsidR="00000000" w:rsidRPr="00000000">
          <w:rPr>
            <w:rFonts w:ascii="Google Sans" w:cs="Google Sans" w:eastAsia="Google Sans" w:hAnsi="Google Sans"/>
            <w:color w:val="0000ee"/>
            <w:sz w:val="24"/>
            <w:szCs w:val="24"/>
            <w:u w:val="single"/>
            <w:rtl w:val="0"/>
          </w:rPr>
          <w:t xml:space="preserve">https://www.twobirds.com/en/insights/2026/taking-the-eu-ai-act-to-practice-understanding-the-draft-transparency-code-of-practice</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Ad Suit Shows Need for Clear, Conspicuous Disclosure - Carlton Fields, accessed March 22, 2026, </w:t>
      </w:r>
      <w:hyperlink r:id="rId71">
        <w:r w:rsidDel="00000000" w:rsidR="00000000" w:rsidRPr="00000000">
          <w:rPr>
            <w:rFonts w:ascii="Google Sans" w:cs="Google Sans" w:eastAsia="Google Sans" w:hAnsi="Google Sans"/>
            <w:color w:val="0000ee"/>
            <w:sz w:val="24"/>
            <w:szCs w:val="24"/>
            <w:u w:val="single"/>
            <w:rtl w:val="0"/>
          </w:rPr>
          <w:t xml:space="preserve">https://www.carltonfields.com/insights/publications/2026/false-ad-suit-shows-need-for-clear-conspicuous-disclosure-law360</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Effective Disclosures in Digital Advertising - Federal Trade Commission, accessed March 22, 2026, </w:t>
      </w:r>
      <w:hyperlink r:id="rId72">
        <w:r w:rsidDel="00000000" w:rsidR="00000000" w:rsidRPr="00000000">
          <w:rPr>
            <w:rFonts w:ascii="Google Sans" w:cs="Google Sans" w:eastAsia="Google Sans" w:hAnsi="Google Sans"/>
            <w:color w:val="0000ee"/>
            <w:sz w:val="24"/>
            <w:szCs w:val="24"/>
            <w:u w:val="single"/>
            <w:rtl w:val="0"/>
          </w:rPr>
          <w:t xml:space="preserve">https://www.ftc.gov/system/files/documents/plain-language/bus41-dot-com-disclosures-information-about-online-advertising.pdf</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Administration Issues Executive Order Prioritizing "Made in America" Enforcement, accessed March 22, 2026, </w:t>
      </w:r>
      <w:hyperlink r:id="rId73">
        <w:r w:rsidDel="00000000" w:rsidR="00000000" w:rsidRPr="00000000">
          <w:rPr>
            <w:rFonts w:ascii="Google Sans" w:cs="Google Sans" w:eastAsia="Google Sans" w:hAnsi="Google Sans"/>
            <w:color w:val="0000ee"/>
            <w:sz w:val="24"/>
            <w:szCs w:val="24"/>
            <w:u w:val="single"/>
            <w:rtl w:val="0"/>
          </w:rPr>
          <w:t xml:space="preserve">https://www.jdsupra.com/legalnews/trump-administration-issues-executive-5335188/</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Complaint Counsel's Notice of Supplemental Authority - Federal Trade Commission, accessed March 22, 2026, </w:t>
      </w:r>
      <w:hyperlink r:id="rId74">
        <w:r w:rsidDel="00000000" w:rsidR="00000000" w:rsidRPr="00000000">
          <w:rPr>
            <w:rFonts w:ascii="Google Sans" w:cs="Google Sans" w:eastAsia="Google Sans" w:hAnsi="Google Sans"/>
            <w:color w:val="0000ee"/>
            <w:sz w:val="24"/>
            <w:szCs w:val="24"/>
            <w:u w:val="single"/>
            <w:rtl w:val="0"/>
          </w:rPr>
          <w:t xml:space="preserve">https://www.ftc.gov/system/files/ftc_gov/pdf/614652.2026.01.12_ccs_notice_of_supplemental_authority.pdf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Medium's FTC Problem: How Compliant Are Affiliate Disclosures? | by GinAngieLa.com | Activated Thinker, accessed March 22, 2026, </w:t>
      </w:r>
      <w:hyperlink r:id="rId75">
        <w:r w:rsidDel="00000000" w:rsidR="00000000" w:rsidRPr="00000000">
          <w:rPr>
            <w:rFonts w:ascii="Google Sans" w:cs="Google Sans" w:eastAsia="Google Sans" w:hAnsi="Google Sans"/>
            <w:color w:val="0000ee"/>
            <w:sz w:val="24"/>
            <w:szCs w:val="24"/>
            <w:u w:val="single"/>
            <w:rtl w:val="0"/>
          </w:rPr>
          <w:t xml:space="preserve">https://medium.com/activated-thinker/mediums-ftc-problem-how-compliant-are-affiliate-disclosures-8d1d919d1fc1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Podcast - Social Media Advertising and the FTC: Deception and the Architecture of Compliance | Insights | Holland &amp; Knight, accessed March 22, 2026, </w:t>
      </w:r>
      <w:hyperlink r:id="rId76">
        <w:r w:rsidDel="00000000" w:rsidR="00000000" w:rsidRPr="00000000">
          <w:rPr>
            <w:rFonts w:ascii="Google Sans" w:cs="Google Sans" w:eastAsia="Google Sans" w:hAnsi="Google Sans"/>
            <w:color w:val="0000ee"/>
            <w:sz w:val="24"/>
            <w:szCs w:val="24"/>
            <w:u w:val="single"/>
            <w:rtl w:val="0"/>
          </w:rPr>
          <w:t xml:space="preserve">https://www.hklaw.com/en/insights/media-entities/2026/01/podcast-social-media-advertising-and-the-ftc</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Disclosures Still a Focus in Interactive Media | Sheppard - JDSupra, accessed March 22, 2026, </w:t>
      </w:r>
      <w:hyperlink r:id="rId77">
        <w:r w:rsidDel="00000000" w:rsidR="00000000" w:rsidRPr="00000000">
          <w:rPr>
            <w:rFonts w:ascii="Google Sans" w:cs="Google Sans" w:eastAsia="Google Sans" w:hAnsi="Google Sans"/>
            <w:color w:val="0000ee"/>
            <w:sz w:val="24"/>
            <w:szCs w:val="24"/>
            <w:u w:val="single"/>
            <w:rtl w:val="0"/>
          </w:rPr>
          <w:t xml:space="preserve">https://www.jdsupra.com/legalnews/ftc-disclosures-still-a-focus-in-5635548/</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FTC Ad Disclosures - AdAmigo.ai Blog, accessed March 22, 2026, </w:t>
      </w:r>
      <w:hyperlink r:id="rId78">
        <w:r w:rsidDel="00000000" w:rsidR="00000000" w:rsidRPr="00000000">
          <w:rPr>
            <w:rFonts w:ascii="Google Sans" w:cs="Google Sans" w:eastAsia="Google Sans" w:hAnsi="Google Sans"/>
            <w:color w:val="0000ee"/>
            <w:sz w:val="24"/>
            <w:szCs w:val="24"/>
            <w:u w:val="single"/>
            <w:rtl w:val="0"/>
          </w:rPr>
          <w:t xml:space="preserve">https://www.adamigo.ai/blog/ultimate-guide-to-ftc-ad-disclosures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Reviews Are In: FTC Flags Potential Violations of Consumer Reviews Rule | BCLP, accessed March 22, 2026, </w:t>
      </w:r>
      <w:hyperlink r:id="rId79">
        <w:r w:rsidDel="00000000" w:rsidR="00000000" w:rsidRPr="00000000">
          <w:rPr>
            <w:rFonts w:ascii="Google Sans" w:cs="Google Sans" w:eastAsia="Google Sans" w:hAnsi="Google Sans"/>
            <w:color w:val="0000ee"/>
            <w:sz w:val="24"/>
            <w:szCs w:val="24"/>
            <w:u w:val="single"/>
            <w:rtl w:val="0"/>
          </w:rPr>
          <w:t xml:space="preserve">https://www.bclplaw.com/en-US/events-insights-news/early-reviews-are-in-ftc-flags-potential-violations-of-consumer-reviews-rule.html</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Decay Rate Statistics: 20 Critical Facts Every GTM Leader Should Know in 2026 | Landbase, accessed March 22, 2026, </w:t>
      </w:r>
      <w:hyperlink r:id="rId80">
        <w:r w:rsidDel="00000000" w:rsidR="00000000" w:rsidRPr="00000000">
          <w:rPr>
            <w:rFonts w:ascii="Google Sans" w:cs="Google Sans" w:eastAsia="Google Sans" w:hAnsi="Google Sans"/>
            <w:color w:val="0000ee"/>
            <w:sz w:val="24"/>
            <w:szCs w:val="24"/>
            <w:u w:val="single"/>
            <w:rtl w:val="0"/>
          </w:rPr>
          <w:t xml:space="preserve">https://www.landbase.com/blog/data-decay-rate-statistics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Allens AI Australian law benchmark: The results, accessed March 22, 2026, </w:t>
      </w:r>
      <w:hyperlink r:id="rId81">
        <w:r w:rsidDel="00000000" w:rsidR="00000000" w:rsidRPr="00000000">
          <w:rPr>
            <w:rFonts w:ascii="Google Sans" w:cs="Google Sans" w:eastAsia="Google Sans" w:hAnsi="Google Sans"/>
            <w:color w:val="0000ee"/>
            <w:sz w:val="24"/>
            <w:szCs w:val="24"/>
            <w:u w:val="single"/>
            <w:rtl w:val="0"/>
          </w:rPr>
          <w:t xml:space="preserve">https://www.allens.com.au/insights-news/explore/2025/the-allens-ai-australian-law-benchmark-2025/the-results/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Shocking LLM Usage Statistics for 2026 - Tenet, accessed March 22, 2026, </w:t>
      </w:r>
      <w:hyperlink r:id="rId82">
        <w:r w:rsidDel="00000000" w:rsidR="00000000" w:rsidRPr="00000000">
          <w:rPr>
            <w:rFonts w:ascii="Google Sans" w:cs="Google Sans" w:eastAsia="Google Sans" w:hAnsi="Google Sans"/>
            <w:color w:val="0000ee"/>
            <w:sz w:val="24"/>
            <w:szCs w:val="24"/>
            <w:u w:val="single"/>
            <w:rtl w:val="0"/>
          </w:rPr>
          <w:t xml:space="preserve">https://www.wearetenet.com/blog/llm-usage-statistics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Dominance and Analog Decline: Thailand's 2026 Economic 'Rising Stars' Revealed, accessed March 22, 2026, </w:t>
      </w:r>
      <w:hyperlink r:id="rId83">
        <w:r w:rsidDel="00000000" w:rsidR="00000000" w:rsidRPr="00000000">
          <w:rPr>
            <w:rFonts w:ascii="Google Sans" w:cs="Google Sans" w:eastAsia="Google Sans" w:hAnsi="Google Sans"/>
            <w:color w:val="0000ee"/>
            <w:sz w:val="24"/>
            <w:szCs w:val="24"/>
            <w:u w:val="single"/>
            <w:rtl w:val="0"/>
          </w:rPr>
          <w:t xml:space="preserve">https://www.nationthailand.com/business/economy/40060215</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Thailand's Tech Industry Outlook for 2026 - Tilleke &amp; Gibbins, accessed March 22, 2026, </w:t>
      </w:r>
      <w:hyperlink r:id="rId84">
        <w:r w:rsidDel="00000000" w:rsidR="00000000" w:rsidRPr="00000000">
          <w:rPr>
            <w:rFonts w:ascii="Google Sans" w:cs="Google Sans" w:eastAsia="Google Sans" w:hAnsi="Google Sans"/>
            <w:color w:val="0000ee"/>
            <w:sz w:val="24"/>
            <w:szCs w:val="24"/>
            <w:u w:val="single"/>
            <w:rtl w:val="0"/>
          </w:rPr>
          <w:t xml:space="preserve">https://www.tilleke.com/insights/thailands-tech-industry-outlook-for-2026/</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 Industry Outlook 2026-2028, accessed March 22, 2026, </w:t>
      </w:r>
      <w:hyperlink r:id="rId85">
        <w:r w:rsidDel="00000000" w:rsidR="00000000" w:rsidRPr="00000000">
          <w:rPr>
            <w:rFonts w:ascii="Google Sans" w:cs="Google Sans" w:eastAsia="Google Sans" w:hAnsi="Google Sans"/>
            <w:color w:val="0000ee"/>
            <w:sz w:val="24"/>
            <w:szCs w:val="24"/>
            <w:u w:val="single"/>
            <w:rtl w:val="0"/>
          </w:rPr>
          <w:t xml:space="preserve">https://www.krungsri.com/en/research/industry/summary-outlook/2026-2028</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 Memgraph, accessed March 22, 2026, </w:t>
      </w:r>
      <w:hyperlink r:id="rId86">
        <w:r w:rsidDel="00000000" w:rsidR="00000000" w:rsidRPr="00000000">
          <w:rPr>
            <w:rFonts w:ascii="Google Sans" w:cs="Google Sans" w:eastAsia="Google Sans" w:hAnsi="Google Sans"/>
            <w:color w:val="0000ee"/>
            <w:sz w:val="24"/>
            <w:szCs w:val="24"/>
            <w:u w:val="single"/>
            <w:rtl w:val="0"/>
          </w:rPr>
          <w:t xml:space="preserve">https://memgraph.com/docs/ai-ecosystem/graph-rag</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Stream-Triggered RAG (STAG): When Your AI Stops Waiting and Starts Watching | by Juluri Mridula | Jan, 2026 | Medium, accessed March 22, 2026, </w:t>
      </w:r>
      <w:hyperlink r:id="rId87">
        <w:r w:rsidDel="00000000" w:rsidR="00000000" w:rsidRPr="00000000">
          <w:rPr>
            <w:rFonts w:ascii="Google Sans" w:cs="Google Sans" w:eastAsia="Google Sans" w:hAnsi="Google Sans"/>
            <w:color w:val="0000ee"/>
            <w:sz w:val="24"/>
            <w:szCs w:val="24"/>
            <w:u w:val="single"/>
            <w:rtl w:val="0"/>
          </w:rPr>
          <w:t xml:space="preserve">https://medium.com/@juluri.mridula/stream-triggered-rag-stag-when-your-ai-stops-waiting-and-starts-watching-2bf39052ce41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SURVIVAL: WHAT A 2026-READY SME REALLY LOOKS LIKE - Innovation Lab, accessed March 22, 2026, </w:t>
      </w:r>
      <w:hyperlink r:id="rId88">
        <w:r w:rsidDel="00000000" w:rsidR="00000000" w:rsidRPr="00000000">
          <w:rPr>
            <w:rFonts w:ascii="Google Sans" w:cs="Google Sans" w:eastAsia="Google Sans" w:hAnsi="Google Sans"/>
            <w:color w:val="0000ee"/>
            <w:sz w:val="24"/>
            <w:szCs w:val="24"/>
            <w:u w:val="single"/>
            <w:rtl w:val="0"/>
          </w:rPr>
          <w:t xml:space="preserve">https://innolab.asia/2026/01/21/beyond-survival-what-a-2026-ready-sme-really-looks-like</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Broke B**ch's Guide to Tech Start-up: Choosing Vector Database — Part 2 Cloud/Serverless Prices | by Soumit Salman Rahman | Medium, accessed March 22, 2026, </w:t>
      </w:r>
      <w:hyperlink r:id="rId89">
        <w:r w:rsidDel="00000000" w:rsidR="00000000" w:rsidRPr="00000000">
          <w:rPr>
            <w:rFonts w:ascii="Google Sans" w:cs="Google Sans" w:eastAsia="Google Sans" w:hAnsi="Google Sans"/>
            <w:color w:val="0000ee"/>
            <w:sz w:val="24"/>
            <w:szCs w:val="24"/>
            <w:u w:val="single"/>
            <w:rtl w:val="0"/>
          </w:rPr>
          <w:t xml:space="preserve">https://medium.com/@soumitsr/a-broke-b-chs-guide-to-tech-start-up-choosing-vector-database-cloud-serverless-prices-3c1ad4c29ce7</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 RAG System Cost? Infrastructure, Development, and Ongoing Expenses, accessed March 22, 2026, </w:t>
      </w:r>
      <w:hyperlink r:id="rId90">
        <w:r w:rsidDel="00000000" w:rsidR="00000000" w:rsidRPr="00000000">
          <w:rPr>
            <w:rFonts w:ascii="Google Sans" w:cs="Google Sans" w:eastAsia="Google Sans" w:hAnsi="Google Sans"/>
            <w:color w:val="0000ee"/>
            <w:sz w:val="24"/>
            <w:szCs w:val="24"/>
            <w:u w:val="single"/>
            <w:rtl w:val="0"/>
          </w:rPr>
          <w:t xml:space="preserve">https://www.alphacorp.ai/blog/how-much-does-a-rag-system-cost-infrastructure-development-and-ongoing-expenses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Implementation Cost 2026: Real Pricing &amp; ROI Calculator - Stratagem Systems, accessed March 22, 2026, </w:t>
      </w:r>
      <w:hyperlink r:id="rId91">
        <w:r w:rsidDel="00000000" w:rsidR="00000000" w:rsidRPr="00000000">
          <w:rPr>
            <w:rFonts w:ascii="Google Sans" w:cs="Google Sans" w:eastAsia="Google Sans" w:hAnsi="Google Sans"/>
            <w:color w:val="0000ee"/>
            <w:sz w:val="24"/>
            <w:szCs w:val="24"/>
            <w:u w:val="single"/>
            <w:rtl w:val="0"/>
          </w:rPr>
          <w:t xml:space="preserve">https://www.stratagem-systems.com/blog/rag-implementation-cost-roi-analysis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Swapping spreadsheets for solutions: Building smarter climate reporting for SMEs, accessed March 22, 2026, </w:t>
      </w:r>
      <w:hyperlink r:id="rId92">
        <w:r w:rsidDel="00000000" w:rsidR="00000000" w:rsidRPr="00000000">
          <w:rPr>
            <w:rFonts w:ascii="Google Sans" w:cs="Google Sans" w:eastAsia="Google Sans" w:hAnsi="Google Sans"/>
            <w:color w:val="0000ee"/>
            <w:sz w:val="24"/>
            <w:szCs w:val="24"/>
            <w:u w:val="single"/>
            <w:rtl w:val="0"/>
          </w:rPr>
          <w:t xml:space="preserve">https://www.weforum.org/stories/2026/01/building-smarter-climate-reporting-for-smes/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Cost Pressures &amp; Growth Opportunities for SMEs in 2026 - IT News Africa, accessed March 22, 2026, </w:t>
      </w:r>
      <w:hyperlink r:id="rId93">
        <w:r w:rsidDel="00000000" w:rsidR="00000000" w:rsidRPr="00000000">
          <w:rPr>
            <w:rFonts w:ascii="Google Sans" w:cs="Google Sans" w:eastAsia="Google Sans" w:hAnsi="Google Sans"/>
            <w:color w:val="0000ee"/>
            <w:sz w:val="24"/>
            <w:szCs w:val="24"/>
            <w:u w:val="single"/>
            <w:rtl w:val="0"/>
          </w:rPr>
          <w:t xml:space="preserve">https://www.itnewsafrica.com/2026/01/top-cost-pressures-growth-opportunities-for-smes-in-2026/</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Production-Ready Architecture for AI Agents: Compute, Memory, and Observability - GreenNode, accessed March 22, 2026, </w:t>
      </w:r>
      <w:hyperlink r:id="rId94">
        <w:r w:rsidDel="00000000" w:rsidR="00000000" w:rsidRPr="00000000">
          <w:rPr>
            <w:rFonts w:ascii="Google Sans" w:cs="Google Sans" w:eastAsia="Google Sans" w:hAnsi="Google Sans"/>
            <w:color w:val="0000ee"/>
            <w:sz w:val="24"/>
            <w:szCs w:val="24"/>
            <w:u w:val="single"/>
            <w:rtl w:val="0"/>
          </w:rPr>
          <w:t xml:space="preserve">https://greennode.ai/blog/designing-production-ready-architecture-for-ai-agents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Praxis - Medium, accessed March 22, 2026, </w:t>
      </w:r>
      <w:hyperlink r:id="rId95">
        <w:r w:rsidDel="00000000" w:rsidR="00000000" w:rsidRPr="00000000">
          <w:rPr>
            <w:rFonts w:ascii="Google Sans" w:cs="Google Sans" w:eastAsia="Google Sans" w:hAnsi="Google Sans"/>
            <w:color w:val="0000ee"/>
            <w:sz w:val="24"/>
            <w:szCs w:val="24"/>
            <w:u w:val="single"/>
            <w:rtl w:val="0"/>
          </w:rPr>
          <w:t xml:space="preserve">https://medium.com/graph-praxis/all?year=2026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GraphRAG-RS: Production-Ready Knowledge Graph Platform with Multi-Interface Architecture | by Carlo C. | GoPenAI, accessed March 22, 2026, </w:t>
      </w:r>
      <w:hyperlink r:id="rId96">
        <w:r w:rsidDel="00000000" w:rsidR="00000000" w:rsidRPr="00000000">
          <w:rPr>
            <w:rFonts w:ascii="Google Sans" w:cs="Google Sans" w:eastAsia="Google Sans" w:hAnsi="Google Sans"/>
            <w:color w:val="0000ee"/>
            <w:sz w:val="24"/>
            <w:szCs w:val="24"/>
            <w:u w:val="single"/>
            <w:rtl w:val="0"/>
          </w:rPr>
          <w:t xml:space="preserve">https://blog.gopenai.com/graphrag-rs-production-ready-knowledge-graph-platform-with-multi-interface-architecture-a45d41fbeea6</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LLMs in 2026: Ranking the Most Powerful AI Models - Whistler Billboards, accessed March 22, 2026, </w:t>
      </w:r>
      <w:hyperlink r:id="rId97">
        <w:r w:rsidDel="00000000" w:rsidR="00000000" w:rsidRPr="00000000">
          <w:rPr>
            <w:rFonts w:ascii="Google Sans" w:cs="Google Sans" w:eastAsia="Google Sans" w:hAnsi="Google Sans"/>
            <w:color w:val="0000ee"/>
            <w:sz w:val="24"/>
            <w:szCs w:val="24"/>
            <w:u w:val="single"/>
            <w:rtl w:val="0"/>
          </w:rPr>
          <w:t xml:space="preserve">https://www.whistlerbillboards.com/friday-feature/top-llms-2026/</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LLM-Powered Applications: The Real Business Impact in 2025 | by Vamsi Nellutla | Medium, accessed March 22, 2026, </w:t>
      </w:r>
      <w:hyperlink r:id="rId98">
        <w:r w:rsidDel="00000000" w:rsidR="00000000" w:rsidRPr="00000000">
          <w:rPr>
            <w:rFonts w:ascii="Google Sans" w:cs="Google Sans" w:eastAsia="Google Sans" w:hAnsi="Google Sans"/>
            <w:color w:val="0000ee"/>
            <w:sz w:val="24"/>
            <w:szCs w:val="24"/>
            <w:u w:val="single"/>
            <w:rtl w:val="0"/>
          </w:rPr>
          <w:t xml:space="preserve">https://medium.com/@vamsinellutla/llm-powered-applications-the-real-business-impact-in-2025-1b82efe17a4f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Graph-Driven AI for All: Neo4j Aura Agent Enters General Availability, accessed March 22, 2026, </w:t>
      </w:r>
      <w:hyperlink r:id="rId99">
        <w:r w:rsidDel="00000000" w:rsidR="00000000" w:rsidRPr="00000000">
          <w:rPr>
            <w:rFonts w:ascii="Google Sans" w:cs="Google Sans" w:eastAsia="Google Sans" w:hAnsi="Google Sans"/>
            <w:color w:val="0000ee"/>
            <w:sz w:val="24"/>
            <w:szCs w:val="24"/>
            <w:u w:val="single"/>
            <w:rtl w:val="0"/>
          </w:rPr>
          <w:t xml:space="preserve">https://neo4j.com/blog/agentic-ai/neo4j-launches-aura-agent/</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BrandRank.AI, accessed March 22, 2026, </w:t>
      </w:r>
      <w:hyperlink r:id="rId100">
        <w:r w:rsidDel="00000000" w:rsidR="00000000" w:rsidRPr="00000000">
          <w:rPr>
            <w:rFonts w:ascii="Google Sans" w:cs="Google Sans" w:eastAsia="Google Sans" w:hAnsi="Google Sans"/>
            <w:color w:val="0000ee"/>
            <w:sz w:val="24"/>
            <w:szCs w:val="24"/>
            <w:u w:val="single"/>
            <w:rtl w:val="0"/>
          </w:rPr>
          <w:t xml:space="preserve">https://www.brandrank.ai/</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Monitoring - Neo4j Connector for Kafka, accessed March 22, 2026, </w:t>
      </w:r>
      <w:hyperlink r:id="rId101">
        <w:r w:rsidDel="00000000" w:rsidR="00000000" w:rsidRPr="00000000">
          <w:rPr>
            <w:rFonts w:ascii="Google Sans" w:cs="Google Sans" w:eastAsia="Google Sans" w:hAnsi="Google Sans"/>
            <w:color w:val="0000ee"/>
            <w:sz w:val="24"/>
            <w:szCs w:val="24"/>
            <w:u w:val="single"/>
            <w:rtl w:val="0"/>
          </w:rPr>
          <w:t xml:space="preserve">https://neo4j.com/docs/kafka/current/source/monitoring/</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Trends for Data Streaming with Apache Kafka and Flink in 2026 - Kai Waehner, accessed March 22, 2026, </w:t>
      </w:r>
      <w:hyperlink r:id="rId102">
        <w:r w:rsidDel="00000000" w:rsidR="00000000" w:rsidRPr="00000000">
          <w:rPr>
            <w:rFonts w:ascii="Google Sans" w:cs="Google Sans" w:eastAsia="Google Sans" w:hAnsi="Google Sans"/>
            <w:color w:val="0000ee"/>
            <w:sz w:val="24"/>
            <w:szCs w:val="24"/>
            <w:u w:val="single"/>
            <w:rtl w:val="0"/>
          </w:rPr>
          <w:t xml:space="preserve">https://www.kai-waehner.de/blog/2025/12/10/top-trends-for-data-streaming-with-apache-kafka-and-flink-in-2026/</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and Address Legal Risk in Your Subscriber Flow - Subscription Insider, accessed March 22, 2026, </w:t>
      </w:r>
      <w:hyperlink r:id="rId103">
        <w:r w:rsidDel="00000000" w:rsidR="00000000" w:rsidRPr="00000000">
          <w:rPr>
            <w:rFonts w:ascii="Google Sans" w:cs="Google Sans" w:eastAsia="Google Sans" w:hAnsi="Google Sans"/>
            <w:color w:val="0000ee"/>
            <w:sz w:val="24"/>
            <w:szCs w:val="24"/>
            <w:u w:val="single"/>
            <w:rtl w:val="0"/>
          </w:rPr>
          <w:t xml:space="preserve">https://www.subscriptioninsider.com/topics/pricing/how-to-identify-and-address-legal-risk-in-your-subscriber-flow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chbase.com/blog/graph-rag-vs-vector-rag/" TargetMode="External"/><Relationship Id="rId42" Type="http://schemas.openxmlformats.org/officeDocument/2006/relationships/hyperlink" Target="https://aimultiple.com/graph-rag" TargetMode="External"/><Relationship Id="rId41" Type="http://schemas.openxmlformats.org/officeDocument/2006/relationships/hyperlink" Target="https://flur.ee/fluree-blog/graphrag-knowledge-graphs-making-your-data-ai-ready-for-2026/" TargetMode="External"/><Relationship Id="rId44" Type="http://schemas.openxmlformats.org/officeDocument/2006/relationships/hyperlink" Target="https://sellermetrics.app/rising-amazon-ad-cpcs/" TargetMode="External"/><Relationship Id="rId43" Type="http://schemas.openxmlformats.org/officeDocument/2006/relationships/hyperlink" Target="https://www.cio.com/article/4097012/new-software-pricing-metrics-will-force-cios-to-change-negotiating-tactics.html" TargetMode="External"/><Relationship Id="rId46" Type="http://schemas.openxmlformats.org/officeDocument/2006/relationships/hyperlink" Target="https://digitalnomadshq.com.au/blog/how-much-does-google-ads-cost/" TargetMode="External"/><Relationship Id="rId45" Type="http://schemas.openxmlformats.org/officeDocument/2006/relationships/hyperlink" Target="https://www.amraandelma.com/top-cost-per-click-statistics/" TargetMode="External"/><Relationship Id="rId48" Type="http://schemas.openxmlformats.org/officeDocument/2006/relationships/hyperlink" Target="https://landingi.com/digital-advertising/ad-costs/" TargetMode="External"/><Relationship Id="rId47" Type="http://schemas.openxmlformats.org/officeDocument/2006/relationships/hyperlink" Target="https://www.smecofe.com/post/rising-business-costs-and-economic-uncertainty-how-smes-can-stay-confident-and-in-control-in-2026" TargetMode="External"/><Relationship Id="rId49" Type="http://schemas.openxmlformats.org/officeDocument/2006/relationships/hyperlink" Target="https://www.marketingtechnews.net/news/answer-engine-optimization-aeo-a-comprehensive-guide-for-2026/" TargetMode="External"/><Relationship Id="rId103" Type="http://schemas.openxmlformats.org/officeDocument/2006/relationships/hyperlink" Target="https://www.subscriptioninsider.com/topics/pricing/how-to-identify-and-address-legal-risk-in-your-subscriber-flow" TargetMode="External"/><Relationship Id="rId102" Type="http://schemas.openxmlformats.org/officeDocument/2006/relationships/hyperlink" Target="https://www.kai-waehner.de/blog/2025/12/10/top-trends-for-data-streaming-with-apache-kafka-and-flink-in-2026/" TargetMode="External"/><Relationship Id="rId101" Type="http://schemas.openxmlformats.org/officeDocument/2006/relationships/hyperlink" Target="https://neo4j.com/docs/kafka/current/source/monitoring/" TargetMode="External"/><Relationship Id="rId100" Type="http://schemas.openxmlformats.org/officeDocument/2006/relationships/hyperlink" Target="https://www.brandrank.ai/" TargetMode="External"/><Relationship Id="rId31" Type="http://schemas.openxmlformats.org/officeDocument/2006/relationships/hyperlink" Target="https://www.techment.com/blogs/rag-models-2026-enterprise-ai/" TargetMode="External"/><Relationship Id="rId30" Type="http://schemas.openxmlformats.org/officeDocument/2006/relationships/hyperlink" Target="https://neo4j.com/blog/developer/rag-tutorial/" TargetMode="External"/><Relationship Id="rId33" Type="http://schemas.openxmlformats.org/officeDocument/2006/relationships/hyperlink" Target="https://c3.unu.edu/projects/ai/deepresearch/demo_research-report_searchengine1.html" TargetMode="External"/><Relationship Id="rId32" Type="http://schemas.openxmlformats.org/officeDocument/2006/relationships/hyperlink" Target="https://medium.com/@spjosyula2005/the-production-rag-architecture-a-complete-guide-to-building-enterprise-grade-65d24292fcea" TargetMode="External"/><Relationship Id="rId35" Type="http://schemas.openxmlformats.org/officeDocument/2006/relationships/hyperlink" Target="https://venturebeat.com/ai/from-shiny-object-to-sober-reality-the-vector-database-story-two-years-later" TargetMode="External"/><Relationship Id="rId34" Type="http://schemas.openxmlformats.org/officeDocument/2006/relationships/hyperlink" Target="https://pub.towardsai.net/building-a-modern-rag-pipeline-in-2026-qwen3-embeddings-and-vector-database-in-qdrant-ebeca2bbe338" TargetMode="External"/><Relationship Id="rId37" Type="http://schemas.openxmlformats.org/officeDocument/2006/relationships/hyperlink" Target="https://arcadedb.com/blog/neo4j-alternatives-in-2026-a-fair-look-at-the-open-source-options/" TargetMode="External"/><Relationship Id="rId36" Type="http://schemas.openxmlformats.org/officeDocument/2006/relationships/hyperlink" Target="https://www.indium.tech/blog/high-speed-vector-indexing-low-latency-rag-pipelines/" TargetMode="External"/><Relationship Id="rId39" Type="http://schemas.openxmlformats.org/officeDocument/2006/relationships/hyperlink" Target="https://www.puppygraph.com/blog/janusgraph-vs-neo4j" TargetMode="External"/><Relationship Id="rId38" Type="http://schemas.openxmlformats.org/officeDocument/2006/relationships/hyperlink" Target="https://neo4j.com/blog/genai/vector-search-with-filters-in-neo4j-v2026-01-preview/" TargetMode="External"/><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hyperlink" Target="https://www.businesswire.com/news/home/20260317270984/en/From-Search-Rankings-to-AI-Answers-Reputation-Marks-20-Years-by-Defining-How-Brands-Build-Trust-Get-Found-and-Drive-Revenue-in-the-AI-Era" TargetMode="External"/><Relationship Id="rId23" Type="http://schemas.openxmlformats.org/officeDocument/2006/relationships/hyperlink" Target="https://www.dacgroup.com/insights/blog/strategy/the-2026-marketing-trends-report-26-moves-to-accelerate-your-marketing-performance/" TargetMode="External"/><Relationship Id="rId26" Type="http://schemas.openxmlformats.org/officeDocument/2006/relationships/hyperlink" Target="https://pub.towardsai.net/9-rag-architectures-that-stop-ai-hallucinations-89-of-developers-get-this-wrong-df7afd807d9f" TargetMode="External"/><Relationship Id="rId25" Type="http://schemas.openxmlformats.org/officeDocument/2006/relationships/hyperlink" Target="https://evolvagency.io/learn/generative-search/llm-statistics-2026" TargetMode="External"/><Relationship Id="rId28" Type="http://schemas.openxmlformats.org/officeDocument/2006/relationships/hyperlink" Target="https://www.ibm.com/think/topics/graphrag" TargetMode="External"/><Relationship Id="rId27" Type="http://schemas.openxmlformats.org/officeDocument/2006/relationships/hyperlink" Target="https://pub.aimind.so/rag-architecture-cheat-sheet-pick-the-right-rag-in-60-seconds-fa28a4f9ff53" TargetMode="External"/><Relationship Id="rId29" Type="http://schemas.openxmlformats.org/officeDocument/2006/relationships/hyperlink" Target="https://atlan.com/know/knowledge-graphs-vs-rag-for-ai/" TargetMode="External"/><Relationship Id="rId95" Type="http://schemas.openxmlformats.org/officeDocument/2006/relationships/hyperlink" Target="https://medium.com/graph-praxis/all?year=2026" TargetMode="External"/><Relationship Id="rId94" Type="http://schemas.openxmlformats.org/officeDocument/2006/relationships/hyperlink" Target="https://greennode.ai/blog/designing-production-ready-architecture-for-ai-agents" TargetMode="External"/><Relationship Id="rId97" Type="http://schemas.openxmlformats.org/officeDocument/2006/relationships/hyperlink" Target="https://www.whistlerbillboards.com/friday-feature/top-llms-2026/" TargetMode="External"/><Relationship Id="rId96" Type="http://schemas.openxmlformats.org/officeDocument/2006/relationships/hyperlink" Target="https://blog.gopenai.com/graphrag-rs-production-ready-knowledge-graph-platform-with-multi-interface-architecture-a45d41fbeea6" TargetMode="External"/><Relationship Id="rId11" Type="http://schemas.openxmlformats.org/officeDocument/2006/relationships/image" Target="media/image11.png"/><Relationship Id="rId99" Type="http://schemas.openxmlformats.org/officeDocument/2006/relationships/hyperlink" Target="https://neo4j.com/blog/agentic-ai/neo4j-launches-aura-agent/" TargetMode="External"/><Relationship Id="rId10" Type="http://schemas.openxmlformats.org/officeDocument/2006/relationships/image" Target="media/image12.png"/><Relationship Id="rId98" Type="http://schemas.openxmlformats.org/officeDocument/2006/relationships/hyperlink" Target="https://medium.com/@vamsinellutla/llm-powered-applications-the-real-business-impact-in-2025-1b82efe17a4f" TargetMode="External"/><Relationship Id="rId13" Type="http://schemas.openxmlformats.org/officeDocument/2006/relationships/image" Target="media/image9.png"/><Relationship Id="rId12" Type="http://schemas.openxmlformats.org/officeDocument/2006/relationships/image" Target="media/image6.png"/><Relationship Id="rId91" Type="http://schemas.openxmlformats.org/officeDocument/2006/relationships/hyperlink" Target="https://www.stratagem-systems.com/blog/rag-implementation-cost-roi-analysis" TargetMode="External"/><Relationship Id="rId90" Type="http://schemas.openxmlformats.org/officeDocument/2006/relationships/hyperlink" Target="https://www.alphacorp.ai/blog/how-much-does-a-rag-system-cost-infrastructure-development-and-ongoing-expenses" TargetMode="External"/><Relationship Id="rId93" Type="http://schemas.openxmlformats.org/officeDocument/2006/relationships/hyperlink" Target="https://www.itnewsafrica.com/2026/01/top-cost-pressures-growth-opportunities-for-smes-in-2026/" TargetMode="External"/><Relationship Id="rId92" Type="http://schemas.openxmlformats.org/officeDocument/2006/relationships/hyperlink" Target="https://www.weforum.org/stories/2026/01/building-smarter-climate-reporting-for-smes/" TargetMode="External"/><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5.png"/><Relationship Id="rId84" Type="http://schemas.openxmlformats.org/officeDocument/2006/relationships/hyperlink" Target="https://www.tilleke.com/insights/thailands-tech-industry-outlook-for-2026/" TargetMode="External"/><Relationship Id="rId83" Type="http://schemas.openxmlformats.org/officeDocument/2006/relationships/hyperlink" Target="https://www.nationthailand.com/business/economy/40060215" TargetMode="External"/><Relationship Id="rId86" Type="http://schemas.openxmlformats.org/officeDocument/2006/relationships/hyperlink" Target="https://memgraph.com/docs/ai-ecosystem/graph-rag" TargetMode="External"/><Relationship Id="rId85" Type="http://schemas.openxmlformats.org/officeDocument/2006/relationships/hyperlink" Target="https://www.krungsri.com/en/research/industry/summary-outlook/2026-2028" TargetMode="External"/><Relationship Id="rId88" Type="http://schemas.openxmlformats.org/officeDocument/2006/relationships/hyperlink" Target="https://innolab.asia/2026/01/21/beyond-survival-what-a-2026-ready-sme-really-looks-like" TargetMode="External"/><Relationship Id="rId87" Type="http://schemas.openxmlformats.org/officeDocument/2006/relationships/hyperlink" Target="https://medium.com/@juluri.mridula/stream-triggered-rag-stag-when-your-ai-stops-waiting-and-starts-watching-2bf39052ce41" TargetMode="External"/><Relationship Id="rId89" Type="http://schemas.openxmlformats.org/officeDocument/2006/relationships/hyperlink" Target="https://medium.com/@soumitsr/a-broke-b-chs-guide-to-tech-start-up-choosing-vector-database-cloud-serverless-prices-3c1ad4c29ce7" TargetMode="External"/><Relationship Id="rId80" Type="http://schemas.openxmlformats.org/officeDocument/2006/relationships/hyperlink" Target="https://www.landbase.com/blog/data-decay-rate-statistics" TargetMode="External"/><Relationship Id="rId82" Type="http://schemas.openxmlformats.org/officeDocument/2006/relationships/hyperlink" Target="https://www.wearetenet.com/blog/llm-usage-statistics" TargetMode="External"/><Relationship Id="rId81" Type="http://schemas.openxmlformats.org/officeDocument/2006/relationships/hyperlink" Target="https://www.allens.com.au/insights-news/explore/2025/the-allens-ai-australian-law-benchmark-2025/the-resu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0.png"/><Relationship Id="rId73" Type="http://schemas.openxmlformats.org/officeDocument/2006/relationships/hyperlink" Target="https://www.jdsupra.com/legalnews/trump-administration-issues-executive-5335188/" TargetMode="External"/><Relationship Id="rId72" Type="http://schemas.openxmlformats.org/officeDocument/2006/relationships/hyperlink" Target="https://www.ftc.gov/system/files/documents/plain-language/bus41-dot-com-disclosures-information-about-online-advertising.pdf" TargetMode="External"/><Relationship Id="rId75" Type="http://schemas.openxmlformats.org/officeDocument/2006/relationships/hyperlink" Target="https://medium.com/activated-thinker/mediums-ftc-problem-how-compliant-are-affiliate-disclosures-8d1d919d1fc1" TargetMode="External"/><Relationship Id="rId74" Type="http://schemas.openxmlformats.org/officeDocument/2006/relationships/hyperlink" Target="https://www.ftc.gov/system/files/ftc_gov/pdf/614652.2026.01.12_ccs_notice_of_supplemental_authority.pdf" TargetMode="External"/><Relationship Id="rId77" Type="http://schemas.openxmlformats.org/officeDocument/2006/relationships/hyperlink" Target="https://www.jdsupra.com/legalnews/ftc-disclosures-still-a-focus-in-5635548/" TargetMode="External"/><Relationship Id="rId76" Type="http://schemas.openxmlformats.org/officeDocument/2006/relationships/hyperlink" Target="https://www.hklaw.com/en/insights/media-entities/2026/01/podcast-social-media-advertising-and-the-ftc" TargetMode="External"/><Relationship Id="rId79" Type="http://schemas.openxmlformats.org/officeDocument/2006/relationships/hyperlink" Target="https://www.bclplaw.com/en-US/events-insights-news/early-reviews-are-in-ftc-flags-potential-violations-of-consumer-reviews-rule.html" TargetMode="External"/><Relationship Id="rId78" Type="http://schemas.openxmlformats.org/officeDocument/2006/relationships/hyperlink" Target="https://www.adamigo.ai/blog/ultimate-guide-to-ftc-ad-disclosures" TargetMode="External"/><Relationship Id="rId71" Type="http://schemas.openxmlformats.org/officeDocument/2006/relationships/hyperlink" Target="https://www.carltonfields.com/insights/publications/2026/false-ad-suit-shows-need-for-clear-conspicuous-disclosure-law360" TargetMode="External"/><Relationship Id="rId70" Type="http://schemas.openxmlformats.org/officeDocument/2006/relationships/hyperlink" Target="https://www.twobirds.com/en/insights/2026/taking-the-eu-ai-act-to-practice-understanding-the-draft-transparency-code-of-practice" TargetMode="External"/><Relationship Id="rId62" Type="http://schemas.openxmlformats.org/officeDocument/2006/relationships/hyperlink" Target="https://www.pinmeto.com/blog/ai-local-discovery" TargetMode="External"/><Relationship Id="rId61" Type="http://schemas.openxmlformats.org/officeDocument/2006/relationships/hyperlink" Target="https://birdeye.com/blog/llm-vs-traditional-local-search-accuracy-report/" TargetMode="External"/><Relationship Id="rId64" Type="http://schemas.openxmlformats.org/officeDocument/2006/relationships/hyperlink" Target="https://neo4j.com/blog/developer/change-data-capture-cdc-ga/" TargetMode="External"/><Relationship Id="rId63" Type="http://schemas.openxmlformats.org/officeDocument/2006/relationships/hyperlink" Target="https://neo4j.com/blog/graph-database/seamless-data-pipeline-neo4j-and-google-cloud-pub-sub/" TargetMode="External"/><Relationship Id="rId66" Type="http://schemas.openxmlformats.org/officeDocument/2006/relationships/hyperlink" Target="https://neo4j.com/blog/graph-database/infinigraph-scalable-architecture/" TargetMode="External"/><Relationship Id="rId65" Type="http://schemas.openxmlformats.org/officeDocument/2006/relationships/hyperlink" Target="https://medium.com/@DevBoostLab/graphrag-biggest-upgrade-ai-development-2026-33366891525d" TargetMode="External"/><Relationship Id="rId68" Type="http://schemas.openxmlformats.org/officeDocument/2006/relationships/hyperlink" Target="https://www.hsfkramer.com/notes/ip/2026-03/transparency-obligations-for-ai-generated-content-under-the-eu-ai-act-from-principle-to-practice" TargetMode="External"/><Relationship Id="rId67" Type="http://schemas.openxmlformats.org/officeDocument/2006/relationships/hyperlink" Target="https://artificialintelligenceact.eu/article/50/" TargetMode="External"/><Relationship Id="rId60" Type="http://schemas.openxmlformats.org/officeDocument/2006/relationships/hyperlink" Target="https://www.articsledge.com/post/vector-rag-retrieval-augmented-generation" TargetMode="External"/><Relationship Id="rId69" Type="http://schemas.openxmlformats.org/officeDocument/2006/relationships/hyperlink" Target="https://www.digitalapplied.com/blog/ftc-ai-policy-deadline-march-11-compliance-readiness" TargetMode="External"/><Relationship Id="rId51" Type="http://schemas.openxmlformats.org/officeDocument/2006/relationships/hyperlink" Target="https://thatware.co/ai-search-visibility-scorecard/" TargetMode="External"/><Relationship Id="rId50" Type="http://schemas.openxmlformats.org/officeDocument/2006/relationships/hyperlink" Target="https://www.brandradar.ai/resources/measure-generative-engine-optimization-visibility" TargetMode="External"/><Relationship Id="rId53" Type="http://schemas.openxmlformats.org/officeDocument/2006/relationships/hyperlink" Target="https://sedestral.com/en/blog/ai-search-market-share-2026" TargetMode="External"/><Relationship Id="rId52" Type="http://schemas.openxmlformats.org/officeDocument/2006/relationships/hyperlink" Target="https://blog.9cv9.com/top-10-ai-tools-for-ai-overviews-and-zero-click-search-optimization-in-2026/" TargetMode="External"/><Relationship Id="rId55" Type="http://schemas.openxmlformats.org/officeDocument/2006/relationships/hyperlink" Target="https://www.striim.com/blog/real-time-rag-streaming-vector-embeddings-and-low-latency-ai-search/" TargetMode="External"/><Relationship Id="rId54" Type="http://schemas.openxmlformats.org/officeDocument/2006/relationships/hyperlink" Target="https://anamaps.com/blog/best-llm-for-analytics" TargetMode="External"/><Relationship Id="rId57" Type="http://schemas.openxmlformats.org/officeDocument/2006/relationships/hyperlink" Target="https://www.confluent.io/learn/real-time-streaming-architecture-examples/" TargetMode="External"/><Relationship Id="rId56" Type="http://schemas.openxmlformats.org/officeDocument/2006/relationships/hyperlink" Target="https://caylent.com/blog/introduction-to-real-time-rag" TargetMode="External"/><Relationship Id="rId59" Type="http://schemas.openxmlformats.org/officeDocument/2006/relationships/hyperlink" Target="https://python.plainenglish.io/the-rag-latency-playbook-batching-caching-scope-reduction-reranking-and-graph-rag-b85dae5cdfb7" TargetMode="External"/><Relationship Id="rId58" Type="http://schemas.openxmlformats.org/officeDocument/2006/relationships/hyperlink" Target="https://www.rtinsights.com/real-time-rag-pipelines-achieving-sub-second-latency-in-enterpris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