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plano-de-arquitetura-para-o-otto-calchub"/>
    <w:p>
      <w:pPr>
        <w:pStyle w:val="Heading1"/>
      </w:pPr>
      <w:r>
        <w:t xml:space="preserve">Plano de arquitetura para o OTTO CALC‑HUB</w:t>
      </w:r>
    </w:p>
    <w:bookmarkStart w:id="21" w:name="contexto-e-objetivos"/>
    <w:p>
      <w:pPr>
        <w:pStyle w:val="Heading2"/>
      </w:pPr>
      <w:r>
        <w:t xml:space="preserve">1. Contexto e objetivos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OTTO CALC‑HUB</w:t>
      </w:r>
      <w:r>
        <w:t xml:space="preserve"> </w:t>
      </w:r>
      <w:r>
        <w:t xml:space="preserve">tem como meta disponibilizar em um único repositório todas as calculadoras e questionários de diagnóstico/monitoramento existentes no ecossistema de otorrinolaringologia. Atualmente esses projetos estão dispersos, utilizam</w:t>
      </w:r>
      <w:r>
        <w:t xml:space="preserve"> </w:t>
      </w:r>
      <w:r>
        <w:rPr>
          <w:b/>
          <w:bCs/>
        </w:rPr>
        <w:t xml:space="preserve">HTML/CSS/JavaScript</w:t>
      </w:r>
      <w:r>
        <w:t xml:space="preserve"> </w:t>
      </w:r>
      <w:r>
        <w:t xml:space="preserve">simples e não seguem uma paleta de cores ou estrutura padronizada. Além de centralizar e normalizar os projetos, pretende‑se integrar os resultados ao painel médico do</w:t>
      </w:r>
      <w:r>
        <w:t xml:space="preserve"> </w:t>
      </w:r>
      <w:r>
        <w:rPr>
          <w:b/>
          <w:bCs/>
        </w:rPr>
        <w:t xml:space="preserve">OTTO Triagem</w:t>
      </w:r>
      <w:r>
        <w:t xml:space="preserve"> </w:t>
      </w:r>
      <w:r>
        <w:t xml:space="preserve">e, futuramente, expor uma API para aplicações de terceiros ou estudos científicos.</w:t>
      </w:r>
    </w:p>
    <w:p>
      <w:pPr>
        <w:pStyle w:val="BodyText"/>
      </w:pPr>
      <w:r>
        <w:t xml:space="preserve">Para atender a esses objetivos é necessário:</w:t>
      </w:r>
    </w:p>
    <w:p>
      <w:pPr>
        <w:pStyle w:val="Compact"/>
        <w:numPr>
          <w:ilvl w:val="0"/>
          <w:numId w:val="1001"/>
        </w:numPr>
      </w:pPr>
      <w:r>
        <w:t xml:space="preserve">Reunir e padronizar as calculadoras existentes;</w:t>
      </w:r>
    </w:p>
    <w:p>
      <w:pPr>
        <w:pStyle w:val="Compact"/>
        <w:numPr>
          <w:ilvl w:val="0"/>
          <w:numId w:val="1001"/>
        </w:numPr>
      </w:pPr>
      <w:r>
        <w:t xml:space="preserve">Definir uma arquitetura de front‑end com paleta de cores consistente e acessível;</w:t>
      </w:r>
    </w:p>
    <w:p>
      <w:pPr>
        <w:pStyle w:val="Compact"/>
        <w:numPr>
          <w:ilvl w:val="0"/>
          <w:numId w:val="1001"/>
        </w:numPr>
      </w:pPr>
      <w:r>
        <w:t xml:space="preserve">Criar um back‑end para armazenar resultados e expô‑los via API;</w:t>
      </w:r>
    </w:p>
    <w:p>
      <w:pPr>
        <w:pStyle w:val="Compact"/>
        <w:numPr>
          <w:ilvl w:val="0"/>
          <w:numId w:val="1001"/>
        </w:numPr>
      </w:pPr>
      <w:r>
        <w:t xml:space="preserve">Pensar na governança e interoperabilidade dos dados para futuras integrações.</w:t>
      </w:r>
    </w:p>
    <w:bookmarkEnd w:id="21"/>
    <w:bookmarkStart w:id="22" w:name="inventário-de-calculadoras-existentes"/>
    <w:p>
      <w:pPr>
        <w:pStyle w:val="Heading2"/>
      </w:pPr>
      <w:r>
        <w:t xml:space="preserve">2. Inventário de calculadoras existentes</w:t>
      </w:r>
    </w:p>
    <w:p>
      <w:pPr>
        <w:pStyle w:val="FirstParagraph"/>
      </w:pPr>
      <w:r>
        <w:t xml:space="preserve">Os arquivos enviados contêm sete calculadoras/questões em formatos variados. A tabela a seguir resume o conteúdo e o estado atual de cada pasta: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Calculadora</w:t>
            </w:r>
          </w:p>
        </w:tc>
        <w:tc>
          <w:tcPr/>
          <w:p>
            <w:pPr>
              <w:pStyle w:val="Compact"/>
            </w:pPr>
            <w:r>
              <w:t xml:space="preserve">Linguagens/estrutura principais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 SINUSITE</w:t>
            </w:r>
          </w:p>
        </w:tc>
        <w:tc>
          <w:tcPr/>
          <w:p>
            <w:pPr>
              <w:pStyle w:val="Compact"/>
            </w:pPr>
            <w:r>
              <w:t xml:space="preserve">HTML estático, CSS e arquivo JS com lógica de sintomas/percentual de chance de sinusite.</w:t>
            </w:r>
          </w:p>
        </w:tc>
        <w:tc>
          <w:tcPr/>
          <w:p>
            <w:pPr>
              <w:pStyle w:val="Compact"/>
            </w:pPr>
            <w:r>
              <w:t xml:space="preserve">Implementa diretrizes EPOS e AAO‑HNSF; o JavaScript contém funções de cálculo de probabilidade e geração de tabela de sintomas.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DE REFLUXO LARINGOFARINGEO</w:t>
            </w:r>
          </w:p>
        </w:tc>
        <w:tc>
          <w:tcPr/>
          <w:p>
            <w:pPr>
              <w:pStyle w:val="Compact"/>
            </w:pPr>
            <w:r>
              <w:t xml:space="preserve">HTML com campo de entrada e JS para somar pontuações.</w:t>
            </w:r>
          </w:p>
        </w:tc>
        <w:tc>
          <w:tcPr/>
          <w:p>
            <w:pPr>
              <w:pStyle w:val="Compact"/>
            </w:pPr>
            <w:r>
              <w:t xml:space="preserve">Simples, com poucas dependências.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 NOSE</w:t>
            </w:r>
          </w:p>
        </w:tc>
        <w:tc>
          <w:tcPr/>
          <w:p>
            <w:pPr>
              <w:pStyle w:val="Compact"/>
            </w:pPr>
            <w:r>
              <w:t xml:space="preserve">HTML com controles deslizantes (sliders) e JavaScript para calcular escore do índice NOSE.</w:t>
            </w:r>
          </w:p>
        </w:tc>
        <w:tc>
          <w:tcPr/>
          <w:p>
            <w:pPr>
              <w:pStyle w:val="Compact"/>
            </w:pPr>
            <w:r>
              <w:t xml:space="preserve">O layout utiliza imagens e CSS próprios.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 SNOT‑20</w:t>
            </w:r>
          </w:p>
        </w:tc>
        <w:tc>
          <w:tcPr/>
          <w:p>
            <w:pPr>
              <w:pStyle w:val="Compact"/>
            </w:pPr>
            <w:r>
              <w:t xml:space="preserve">HTML com formulário e JS para pontuações de 20 perguntas; inclui pastas</w:t>
            </w:r>
            <w:r>
              <w:t xml:space="preserve"> </w:t>
            </w:r>
            <w:r>
              <w:rPr>
                <w:rStyle w:val="VerbatimChar"/>
              </w:rPr>
              <w:t xml:space="preserve">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styles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Já tem alguma organização de pastas, mas a paleta é diferente das demais.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de Doses Pediátricas</w:t>
            </w:r>
          </w:p>
        </w:tc>
        <w:tc>
          <w:tcPr/>
          <w:p>
            <w:pPr>
              <w:pStyle w:val="Compact"/>
            </w:pPr>
            <w:r>
              <w:t xml:space="preserve">HTML/CSS/JS. Várias versões de scripts (scrap.js, scrap2.js) sugerem experimentação.</w:t>
            </w:r>
          </w:p>
        </w:tc>
        <w:tc>
          <w:tcPr/>
          <w:p>
            <w:pPr>
              <w:pStyle w:val="Compact"/>
            </w:pPr>
            <w:r>
              <w:t xml:space="preserve">Necessita refatoração para remover códigos não utilizados.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Lund Mckay Calc</w:t>
            </w:r>
          </w:p>
        </w:tc>
        <w:tc>
          <w:tcPr/>
          <w:p>
            <w:pPr>
              <w:pStyle w:val="Compact"/>
            </w:pPr>
            <w:r>
              <w:t xml:space="preserve">HTML, CSS e JS para calcular escore de Lund‑Mackay em tomografia.</w:t>
            </w:r>
          </w:p>
        </w:tc>
        <w:tc>
          <w:tcPr/>
          <w:p>
            <w:pPr>
              <w:pStyle w:val="Compact"/>
            </w:pPr>
            <w:r>
              <w:t xml:space="preserve">Simples, sem dependências externas.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TNM CLASSIF APP</w:t>
            </w:r>
          </w:p>
        </w:tc>
        <w:tc>
          <w:tcPr/>
          <w:p>
            <w:pPr>
              <w:pStyle w:val="Compact"/>
            </w:pPr>
            <w:r>
              <w:t xml:space="preserve">Projeto mais complexo, com múltiplas páginas HTML (cavidade oral, laringe, tireoide etc.), scripts de classificação e um</w:t>
            </w:r>
            <w:r>
              <w:t xml:space="preserve"> </w:t>
            </w:r>
            <w:r>
              <w:rPr>
                <w:b/>
                <w:bCs/>
              </w:rPr>
              <w:t xml:space="preserve">venv</w:t>
            </w:r>
            <w:r>
              <w:t xml:space="preserve"> </w:t>
            </w:r>
            <w:r>
              <w:t xml:space="preserve">Python.</w:t>
            </w:r>
          </w:p>
        </w:tc>
        <w:tc>
          <w:tcPr/>
          <w:p>
            <w:pPr>
              <w:pStyle w:val="Compact"/>
            </w:pPr>
            <w:r>
              <w:t xml:space="preserve">Provavelmente serve como referência para estruturação de navegabilidade e poderá ser integrado como questionário de classificação TNM.</w:t>
            </w:r>
          </w:p>
        </w:tc>
      </w:tr>
    </w:tbl>
    <w:p>
      <w:pPr>
        <w:pStyle w:val="BodyText"/>
      </w:pPr>
      <w:r>
        <w:t xml:space="preserve">Apesar de heterogêneas, todas as calculadoras utilizam lógica de cálculo relativamente simples em JavaScript; isso facilita a extração das funções de cálculo e sua encapsulação em componentes reutilizáveis.</w:t>
      </w:r>
    </w:p>
    <w:bookmarkEnd w:id="22"/>
    <w:bookmarkStart w:id="28" w:name="diretrizes-de-design-e-paleta-de-cores"/>
    <w:p>
      <w:pPr>
        <w:pStyle w:val="Heading2"/>
      </w:pPr>
      <w:r>
        <w:t xml:space="preserve">3. Diretrizes de design e paleta de cores</w:t>
      </w:r>
    </w:p>
    <w:p>
      <w:pPr>
        <w:pStyle w:val="FirstParagraph"/>
      </w:pPr>
      <w:r>
        <w:rPr>
          <w:b/>
          <w:bCs/>
        </w:rPr>
        <w:t xml:space="preserve">Acessibilidade e clareza.</w:t>
      </w:r>
      <w:r>
        <w:t xml:space="preserve"> Aplicações médicas devem suportar múltiplos perfis (pacientes, médicos, administradores) e funcionar em contextos de alta pressão. Um guia de UI/UX de 2026 para saúde ressalta que a interface deve ser clara, com fluxos que reduzem a carga cognitiva e ofereçam acessibilidade para diferentes papéis</w:t>
      </w:r>
      <w:hyperlink r:id="rId23">
        <w:r>
          <w:rPr>
            <w:rStyle w:val="Hyperlink"/>
          </w:rPr>
          <w:t xml:space="preserve">[1]</w:t>
        </w:r>
      </w:hyperlink>
      <w:r>
        <w:t xml:space="preserve">. Além disso, as aplicações precisam garantir contraste, legibilidade e conformidade com normas como WCAG e HIPAA.</w:t>
      </w:r>
    </w:p>
    <w:p>
      <w:pPr>
        <w:pStyle w:val="BodyText"/>
      </w:pPr>
      <w:r>
        <w:rPr>
          <w:b/>
          <w:bCs/>
        </w:rPr>
        <w:t xml:space="preserve">Paleta e psicologia das cores.</w:t>
      </w:r>
      <w:r>
        <w:t xml:space="preserve"> O estudo sobre cores em branding médico (2025) recomenda equilibrar tons tradicionais (azul/branco) com cores de apoio, considerando acessibilidade, inclusão cultural e adequação ao meio digital</w:t>
      </w:r>
      <w:hyperlink r:id="rId24">
        <w:r>
          <w:rPr>
            <w:rStyle w:val="Hyperlink"/>
          </w:rPr>
          <w:t xml:space="preserve">[2]</w:t>
        </w:r>
      </w:hyperlink>
      <w:r>
        <w:t xml:space="preserve">. O mesmo artigo destaca que a adaptação digital exige tons que funcionem em dark mode e mobile, mantenham contrastes adequados e transmitam calma e confiança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Paleta proposta.</w:t>
      </w:r>
      <w:r>
        <w:t xml:space="preserve"> O usuário especificou as cores </w:t>
      </w:r>
      <w:r>
        <w:rPr>
          <w:rStyle w:val="VerbatimChar"/>
        </w:rPr>
        <w:t xml:space="preserve">#5CC6BA</w:t>
      </w:r>
      <w:r>
        <w:t xml:space="preserve">, </w:t>
      </w:r>
      <w:r>
        <w:rPr>
          <w:rStyle w:val="VerbatimChar"/>
        </w:rPr>
        <w:t xml:space="preserve">#00A0AF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#00BCD4</w:t>
      </w:r>
      <w:r>
        <w:t xml:space="preserve"> </w:t>
      </w:r>
      <w:r>
        <w:t xml:space="preserve">como base. Para aderir às recomendações de design: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 primária</w:t>
      </w:r>
      <w:r>
        <w:t xml:space="preserve">:</w:t>
      </w:r>
      <w:r>
        <w:t xml:space="preserve"> </w:t>
      </w:r>
      <w:r>
        <w:rPr>
          <w:rStyle w:val="VerbatimChar"/>
        </w:rPr>
        <w:t xml:space="preserve">#00A0AF</w:t>
      </w:r>
      <w:r>
        <w:t xml:space="preserve"> </w:t>
      </w:r>
      <w:r>
        <w:t xml:space="preserve">(um tom de azul‑esverdeado). Transmite confiança e está alinhado ao azul tradicional das marcas de saúde</w:t>
      </w:r>
      <w:hyperlink r:id="rId26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 secundária</w:t>
      </w:r>
      <w:r>
        <w:t xml:space="preserve">:</w:t>
      </w:r>
      <w:r>
        <w:t xml:space="preserve"> </w:t>
      </w:r>
      <w:r>
        <w:rPr>
          <w:rStyle w:val="VerbatimChar"/>
        </w:rPr>
        <w:t xml:space="preserve">#5CC6BA</w:t>
      </w:r>
      <w:r>
        <w:t xml:space="preserve"> </w:t>
      </w:r>
      <w:r>
        <w:t xml:space="preserve">(verde aqua). Complementa a primária e adiciona sensação de bem‑estar e inovação</w:t>
      </w:r>
      <w:hyperlink r:id="rId27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 de destaque</w:t>
      </w:r>
      <w:r>
        <w:t xml:space="preserve">:</w:t>
      </w:r>
      <w:r>
        <w:t xml:space="preserve"> </w:t>
      </w:r>
      <w:r>
        <w:rPr>
          <w:rStyle w:val="VerbatimChar"/>
        </w:rPr>
        <w:t xml:space="preserve">#00BCD4</w:t>
      </w:r>
      <w:r>
        <w:t xml:space="preserve"> </w:t>
      </w:r>
      <w:r>
        <w:t xml:space="preserve">(ciano mais claro). Utilizada para elementos interativos, ícones e indicadores de progresso.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Cores de apoio</w:t>
      </w:r>
      <w:r>
        <w:t xml:space="preserve">: cinza claro para fundos e preto/cinza escuro para textos. Devem atender às razões de contraste (AA/AAA). Ferramentas como</w:t>
      </w:r>
      <w:r>
        <w:t xml:space="preserve"> </w:t>
      </w:r>
      <w:r>
        <w:rPr>
          <w:rStyle w:val="VerbatimChar"/>
        </w:rPr>
        <w:t xml:space="preserve">contrast-ratio.com</w:t>
      </w:r>
      <w:r>
        <w:t xml:space="preserve"> </w:t>
      </w:r>
      <w:r>
        <w:t xml:space="preserve">podem auxiliar na verificação.</w:t>
      </w:r>
    </w:p>
    <w:p>
      <w:pPr>
        <w:pStyle w:val="FirstParagraph"/>
      </w:pPr>
      <w:r>
        <w:t xml:space="preserve">Para consistência, recomenda‑se criar uma</w:t>
      </w:r>
      <w:r>
        <w:t xml:space="preserve"> </w:t>
      </w:r>
      <w:r>
        <w:rPr>
          <w:b/>
          <w:bCs/>
        </w:rPr>
        <w:t xml:space="preserve">folha de estilos global</w:t>
      </w:r>
      <w:r>
        <w:t xml:space="preserve"> </w:t>
      </w:r>
      <w:r>
        <w:t xml:space="preserve">(por exemplo,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 </w:t>
      </w:r>
      <w:r>
        <w:t xml:space="preserve">ou um objeto de tema em frameworks como Material UI/Tailwind) contendo variáveis das cores, tipografia e espaçamentos. Assim, todas as calculadoras herdarão o mesmo visual e permitirão atualização centralizada.</w:t>
      </w:r>
    </w:p>
    <w:bookmarkEnd w:id="28"/>
    <w:bookmarkStart w:id="34" w:name="arquitetura-proposta"/>
    <w:p>
      <w:pPr>
        <w:pStyle w:val="Heading2"/>
      </w:pPr>
      <w:r>
        <w:t xml:space="preserve">4. Arquitetura proposta</w:t>
      </w:r>
    </w:p>
    <w:bookmarkStart w:id="29" w:name="visão-geral"/>
    <w:p>
      <w:pPr>
        <w:pStyle w:val="Heading3"/>
      </w:pPr>
      <w:r>
        <w:t xml:space="preserve">4.1. Visão geral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OTTO CALC‑HUB</w:t>
      </w:r>
      <w:r>
        <w:t xml:space="preserve"> </w:t>
      </w:r>
      <w:r>
        <w:t xml:space="preserve">deverá ser um projeto dividido em</w:t>
      </w:r>
      <w:r>
        <w:t xml:space="preserve"> </w:t>
      </w:r>
      <w:r>
        <w:rPr>
          <w:b/>
          <w:bCs/>
        </w:rPr>
        <w:t xml:space="preserve">front‑end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back‑end</w:t>
      </w:r>
      <w:r>
        <w:t xml:space="preserve">. O front‑end exibe as calculadoras e questionários; o back‑end armazena resultados e disponibiliza APIs para outras aplicações (como o painel médico do OTTO Triagem). A figura abaixo descreve os principais módulos (textual porque este documento é Markdown):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Front‑end        │</w:t>
      </w:r>
      <w:r>
        <w:br/>
      </w:r>
      <w:r>
        <w:rPr>
          <w:rStyle w:val="VerbatimChar"/>
        </w:rPr>
        <w:t xml:space="preserve">│  (React/Next.js)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• UI comum (nav, header)  │</w:t>
      </w:r>
      <w:r>
        <w:br/>
      </w:r>
      <w:r>
        <w:rPr>
          <w:rStyle w:val="VerbatimChar"/>
        </w:rPr>
        <w:t xml:space="preserve">│ • Calculators (modules)    │</w:t>
      </w:r>
      <w:r>
        <w:br/>
      </w:r>
      <w:r>
        <w:rPr>
          <w:rStyle w:val="VerbatimChar"/>
        </w:rPr>
        <w:t xml:space="preserve">│ • PROMs (questionnaires)   │</w:t>
      </w:r>
      <w:r>
        <w:br/>
      </w:r>
      <w:r>
        <w:rPr>
          <w:rStyle w:val="VerbatimChar"/>
        </w:rPr>
        <w:t xml:space="preserve">│ • Auth/role handling       │</w:t>
      </w:r>
      <w:r>
        <w:br/>
      </w:r>
      <w:r>
        <w:rPr>
          <w:rStyle w:val="VerbatimChar"/>
        </w:rPr>
        <w:t xml:space="preserve">└───────────────▲───────────┘</w:t>
      </w:r>
      <w:r>
        <w:br/>
      </w:r>
      <w:r>
        <w:rPr>
          <w:rStyle w:val="VerbatimChar"/>
        </w:rPr>
        <w:t xml:space="preserve">                │ API calls</w:t>
      </w:r>
      <w:r>
        <w:br/>
      </w:r>
      <w:r>
        <w:rPr>
          <w:rStyle w:val="VerbatimChar"/>
        </w:rPr>
        <w:t xml:space="preserve">┌───────────────┴───────────┐</w:t>
      </w:r>
      <w:r>
        <w:br/>
      </w:r>
      <w:r>
        <w:rPr>
          <w:rStyle w:val="VerbatimChar"/>
        </w:rPr>
        <w:t xml:space="preserve">│          Back‑end         │</w:t>
      </w:r>
      <w:r>
        <w:br/>
      </w:r>
      <w:r>
        <w:rPr>
          <w:rStyle w:val="VerbatimChar"/>
        </w:rPr>
        <w:t xml:space="preserve">│ (Node.js/Express ou Flask)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• Endpoints REST/FHIR      │</w:t>
      </w:r>
      <w:r>
        <w:br/>
      </w:r>
      <w:r>
        <w:rPr>
          <w:rStyle w:val="VerbatimChar"/>
        </w:rPr>
        <w:t xml:space="preserve">│ • Banco de dados           │</w:t>
      </w:r>
      <w:r>
        <w:br/>
      </w:r>
      <w:r>
        <w:rPr>
          <w:rStyle w:val="VerbatimChar"/>
        </w:rPr>
        <w:t xml:space="preserve">│ • Lógica de autenticação   │</w:t>
      </w:r>
      <w:r>
        <w:br/>
      </w:r>
      <w:r>
        <w:rPr>
          <w:rStyle w:val="VerbatimChar"/>
        </w:rPr>
        <w:t xml:space="preserve">│ • Exportação de relatórios │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</w:p>
    <w:bookmarkEnd w:id="29"/>
    <w:bookmarkStart w:id="30" w:name="frontend"/>
    <w:p>
      <w:pPr>
        <w:pStyle w:val="Heading3"/>
      </w:pPr>
      <w:r>
        <w:t xml:space="preserve">4.2. Front‑end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</w:t>
      </w:r>
      <w:r>
        <w:t xml:space="preserve">: recomenda‑se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(com Next.js) ou outro framework moderno (Vue ou Angular) que facilite a construção de componentes reutilizáveis. Esses frameworks suportam SPA e SSR, facilitando performance e SEO.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Componentização</w:t>
      </w:r>
      <w:r>
        <w:t xml:space="preserve">: cada calculadora será convertida em um</w:t>
      </w:r>
      <w:r>
        <w:t xml:space="preserve"> </w:t>
      </w:r>
      <w:r>
        <w:rPr>
          <w:b/>
          <w:bCs/>
        </w:rPr>
        <w:t xml:space="preserve">componente isolado</w:t>
      </w:r>
      <w:r>
        <w:t xml:space="preserve">. Por exemplo, um componente</w:t>
      </w:r>
      <w:r>
        <w:t xml:space="preserve"> </w:t>
      </w:r>
      <w:r>
        <w:rPr>
          <w:rStyle w:val="VerbatimChar"/>
        </w:rPr>
        <w:t xml:space="preserve">SinusiteCalc</w:t>
      </w:r>
      <w:r>
        <w:t xml:space="preserve"> </w:t>
      </w:r>
      <w:r>
        <w:t xml:space="preserve">recebe as respostas do usuário, utiliza as funções de cálculo existentes (extraídas dos arquivos JS) e retorna o resultado. Os componentes devem seguir o mesmo padrão de layout (cards, formulários, botões) e usar o tema global.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Gerenciamento de estado</w:t>
      </w:r>
      <w:r>
        <w:t xml:space="preserve">: utilizar contexto (</w:t>
      </w:r>
      <w:r>
        <w:rPr>
          <w:rStyle w:val="VerbatimChar"/>
        </w:rPr>
        <w:t xml:space="preserve">React Context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Redux</w:t>
      </w:r>
      <w:r>
        <w:t xml:space="preserve">) para armazenar temporariamente as respostas do usuário antes de enviá‑las ao back‑end.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Roteamento</w:t>
      </w:r>
      <w:r>
        <w:t xml:space="preserve">: uma página de listagem apresentará todas as calculadoras e PROMs disponíveis. Cada item abrirá um componente específico (via rota</w:t>
      </w:r>
      <w:r>
        <w:t xml:space="preserve"> </w:t>
      </w:r>
      <w:r>
        <w:rPr>
          <w:rStyle w:val="VerbatimChar"/>
        </w:rPr>
        <w:t xml:space="preserve">/calc/sinusite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/calc/nose</w:t>
      </w:r>
      <w:r>
        <w:t xml:space="preserve">, etc.).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Acessibilidade</w:t>
      </w:r>
      <w:r>
        <w:t xml:space="preserve">: empregar práticas WCAG (etiquetas associadas, navegação por teclado, alto contraste) para todos os componentes</w:t>
      </w:r>
      <w:hyperlink r:id="rId23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Internacionalização</w:t>
      </w:r>
      <w:r>
        <w:t xml:space="preserve">: estruturar mensagens e rótulos em arquivos de tradução (por exemplo,</w:t>
      </w:r>
      <w:r>
        <w:t xml:space="preserve"> </w:t>
      </w:r>
      <w:r>
        <w:rPr>
          <w:rStyle w:val="VerbatimChar"/>
        </w:rPr>
        <w:t xml:space="preserve">pt-BR.json</w:t>
      </w:r>
      <w:r>
        <w:t xml:space="preserve">) para permitir suporte futuro a outros idiomas.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Validação de entradas</w:t>
      </w:r>
      <w:r>
        <w:t xml:space="preserve">: validar todos os campos antes de calcular; erros devem ser exibidos de forma discreta e acessível.</w:t>
      </w:r>
    </w:p>
    <w:bookmarkEnd w:id="30"/>
    <w:bookmarkStart w:id="32" w:name="backend"/>
    <w:p>
      <w:pPr>
        <w:pStyle w:val="Heading3"/>
      </w:pPr>
      <w:r>
        <w:t xml:space="preserve">4.3. Back‑end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Linguagem</w:t>
      </w:r>
      <w:r>
        <w:t xml:space="preserve">: Node.js com Express ou Python com Flask/FastAPI. A escolha deve considerar a familiaridade da equipe e integração com serviços existentes. Ambas permitem criar rapidamente endpoints REST e possuem bibliotecas para autenticação.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Modelos de dados</w:t>
      </w:r>
      <w:r>
        <w:t xml:space="preserve">: criar tabelas/coleções para armazenar: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Pacientes</w:t>
      </w:r>
      <w:r>
        <w:t xml:space="preserve"> </w:t>
      </w:r>
      <w:r>
        <w:t xml:space="preserve">(id, identificação pseudonimizada, idade, sexo,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Calculadoras</w:t>
      </w:r>
      <w:r>
        <w:t xml:space="preserve"> </w:t>
      </w:r>
      <w:r>
        <w:t xml:space="preserve">(id, nome, versão, descrição).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Resultados</w:t>
      </w:r>
      <w:r>
        <w:t xml:space="preserve"> </w:t>
      </w:r>
      <w:r>
        <w:t xml:space="preserve">(id, calculadora_id, paciente_id, data/hora, respostas brutas, escore final, criador). Os dados devem ser versionados para possibilitar auditoria.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</w:t>
      </w:r>
      <w:r>
        <w:t xml:space="preserve">: disponibilizar endpoints</w:t>
      </w:r>
      <w:r>
        <w:t xml:space="preserve"> </w:t>
      </w:r>
      <w:r>
        <w:rPr>
          <w:rStyle w:val="VerbatimChar"/>
        </w:rPr>
        <w:t xml:space="preserve">POST /results</w:t>
      </w:r>
      <w:r>
        <w:t xml:space="preserve"> </w:t>
      </w:r>
      <w:r>
        <w:t xml:space="preserve">para envio de resultados e</w:t>
      </w:r>
      <w:r>
        <w:t xml:space="preserve"> </w:t>
      </w:r>
      <w:r>
        <w:rPr>
          <w:rStyle w:val="VerbatimChar"/>
        </w:rPr>
        <w:t xml:space="preserve">GET /results</w:t>
      </w:r>
      <w:r>
        <w:t xml:space="preserve"> </w:t>
      </w:r>
      <w:r>
        <w:t xml:space="preserve">para consulta. Incluir filtros por paciente, calculadora e data. Para interoperabilidade, adotar padrões</w:t>
      </w:r>
      <w:r>
        <w:t xml:space="preserve"> </w:t>
      </w:r>
      <w:r>
        <w:rPr>
          <w:b/>
          <w:bCs/>
        </w:rPr>
        <w:t xml:space="preserve">FHIR</w:t>
      </w:r>
      <w:r>
        <w:t xml:space="preserve"> </w:t>
      </w:r>
      <w:r>
        <w:t xml:space="preserve">quando aplicável (por exemplo, representar questionários como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e respostas como</w:t>
      </w:r>
      <w:r>
        <w:t xml:space="preserve"> </w:t>
      </w:r>
      <w:r>
        <w:rPr>
          <w:rStyle w:val="VerbatimChar"/>
        </w:rPr>
        <w:t xml:space="preserve">QuestionnaireResponse</w:t>
      </w:r>
      <w:r>
        <w:t xml:space="preserve">). O guia de integração de dados de saúde recomenda adoção de padrões abertos (ex.: FHIR) e tecnologia apropriada para garantir interoperabilidade e segurança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Segurança</w:t>
      </w:r>
      <w:r>
        <w:t xml:space="preserve">: implementar autenticação (JWT ou OAuth2), autorização baseada em papéis (médico, pesquisador, administrador) e criptografia de dados sensíveis. Assegurar que apenas usuários autorizados possam gravar ou ler resultados (HIPAA/GDPR).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Persistência</w:t>
      </w:r>
      <w:r>
        <w:t xml:space="preserve">: utilizar banco de dados relacional (PostgreSQL) para dados estruturados e JSON para respostas. MongoDB também é opção caso se prefira esquema flexível para questionários.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com OTTO Triagem</w:t>
      </w:r>
      <w:r>
        <w:t xml:space="preserve">: criar endpoints específicos para que o painel médico consulte resultados em tempo real ou receba notificações (webhooks) quando um novo cálculo é concluído. A integração deve seguir boas práticas de governança de dados, com formatos padronizados, controle de qualidade e segurança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2"/>
    <w:bookmarkStart w:id="33" w:name="estrutura-do-repositório"/>
    <w:p>
      <w:pPr>
        <w:pStyle w:val="Heading3"/>
      </w:pPr>
      <w:r>
        <w:t xml:space="preserve">4.4. Estrutura do repositório</w:t>
      </w:r>
    </w:p>
    <w:p>
      <w:pPr>
        <w:pStyle w:val="FirstParagraph"/>
      </w:pPr>
      <w:r>
        <w:t xml:space="preserve">No GitHub, o repositório</w:t>
      </w:r>
      <w:r>
        <w:t xml:space="preserve"> </w:t>
      </w:r>
      <w:r>
        <w:rPr>
          <w:b/>
          <w:bCs/>
        </w:rPr>
        <w:t xml:space="preserve">OTTO CALC‑HUB</w:t>
      </w:r>
      <w:r>
        <w:t xml:space="preserve"> </w:t>
      </w:r>
      <w:r>
        <w:t xml:space="preserve">pode ser organizado da seguinte forma:</w:t>
      </w:r>
    </w:p>
    <w:p>
      <w:pPr>
        <w:pStyle w:val="SourceCode"/>
      </w:pPr>
      <w:r>
        <w:rPr>
          <w:rStyle w:val="VerbatimChar"/>
        </w:rPr>
        <w:t xml:space="preserve">otto-calc-hub/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├─ public/              # Arquivos estáticos (imagens, ícones)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components/       # Botões, inputs, cards, tabelas, etc.</w:t>
      </w:r>
      <w:r>
        <w:br/>
      </w:r>
      <w:r>
        <w:rPr>
          <w:rStyle w:val="VerbatimChar"/>
        </w:rPr>
        <w:t xml:space="preserve">│  │  ├─ calculators/</w:t>
      </w:r>
      <w:r>
        <w:br/>
      </w:r>
      <w:r>
        <w:rPr>
          <w:rStyle w:val="VerbatimChar"/>
        </w:rPr>
        <w:t xml:space="preserve">│  │  │  ├─ SinusiteCalc/</w:t>
      </w:r>
      <w:r>
        <w:br/>
      </w:r>
      <w:r>
        <w:rPr>
          <w:rStyle w:val="VerbatimChar"/>
        </w:rPr>
        <w:t xml:space="preserve">│  │  │  │  ├─ index.tsx   # Componente React</w:t>
      </w:r>
      <w:r>
        <w:br/>
      </w:r>
      <w:r>
        <w:rPr>
          <w:rStyle w:val="VerbatimChar"/>
        </w:rPr>
        <w:t xml:space="preserve">│  │  │  │  ├─ logic.ts    # Funções de cálculo extraídas de sinusite.js</w:t>
      </w:r>
      <w:r>
        <w:br/>
      </w:r>
      <w:r>
        <w:rPr>
          <w:rStyle w:val="VerbatimChar"/>
        </w:rPr>
        <w:t xml:space="preserve">│  │  │  │  └─ styles.ts   # Estilos específicos usando o tema global</w:t>
      </w:r>
      <w:r>
        <w:br/>
      </w:r>
      <w:r>
        <w:rPr>
          <w:rStyle w:val="VerbatimChar"/>
        </w:rPr>
        <w:t xml:space="preserve">│  │  │  ├─ RefluxCalc/</w:t>
      </w:r>
      <w:r>
        <w:br/>
      </w:r>
      <w:r>
        <w:rPr>
          <w:rStyle w:val="VerbatimChar"/>
        </w:rPr>
        <w:t xml:space="preserve">│  │  │  └─ ...            # Outras calculadoras</w:t>
      </w:r>
      <w:r>
        <w:br/>
      </w:r>
      <w:r>
        <w:rPr>
          <w:rStyle w:val="VerbatimChar"/>
        </w:rPr>
        <w:t xml:space="preserve">│  │  ├─ prom/             # Questionários PROMs</w:t>
      </w:r>
      <w:r>
        <w:br/>
      </w:r>
      <w:r>
        <w:rPr>
          <w:rStyle w:val="VerbatimChar"/>
        </w:rPr>
        <w:t xml:space="preserve">│  │  ├─ context/          # Estado global (auth, resultados temporários)</w:t>
      </w:r>
      <w:r>
        <w:br/>
      </w:r>
      <w:r>
        <w:rPr>
          <w:rStyle w:val="VerbatimChar"/>
        </w:rPr>
        <w:t xml:space="preserve">│  │  ├─ theme/            # Variáveis de cores, tipografia</w:t>
      </w:r>
      <w:r>
        <w:br/>
      </w:r>
      <w:r>
        <w:rPr>
          <w:rStyle w:val="VerbatimChar"/>
        </w:rPr>
        <w:t xml:space="preserve">│  │  ├─ routes.tsx        # Roteador</w:t>
      </w:r>
      <w:r>
        <w:br/>
      </w:r>
      <w:r>
        <w:rPr>
          <w:rStyle w:val="VerbatimChar"/>
        </w:rPr>
        <w:t xml:space="preserve">│  │  └─ App.tsx</w:t>
      </w:r>
      <w:r>
        <w:br/>
      </w:r>
      <w:r>
        <w:rPr>
          <w:rStyle w:val="VerbatimChar"/>
        </w:rPr>
        <w:t xml:space="preserve">│  └─ package.json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controllers/      # Lógica dos endpoints</w:t>
      </w:r>
      <w:r>
        <w:br/>
      </w:r>
      <w:r>
        <w:rPr>
          <w:rStyle w:val="VerbatimChar"/>
        </w:rPr>
        <w:t xml:space="preserve">│  │  ├─ models/           # Esquemas de banco</w:t>
      </w:r>
      <w:r>
        <w:br/>
      </w:r>
      <w:r>
        <w:rPr>
          <w:rStyle w:val="VerbatimChar"/>
        </w:rPr>
        <w:t xml:space="preserve">│  │  ├─ routes/           # Definição das rotas</w:t>
      </w:r>
      <w:r>
        <w:br/>
      </w:r>
      <w:r>
        <w:rPr>
          <w:rStyle w:val="VerbatimChar"/>
        </w:rPr>
        <w:t xml:space="preserve">│  │  └─ app.js            # Inicialização do servidor</w:t>
      </w:r>
      <w:r>
        <w:br/>
      </w:r>
      <w:r>
        <w:rPr>
          <w:rStyle w:val="VerbatimChar"/>
        </w:rPr>
        <w:t xml:space="preserve">│  ├─ .env.example         # Variáveis de ambiente</w:t>
      </w:r>
      <w:r>
        <w:br/>
      </w:r>
      <w:r>
        <w:rPr>
          <w:rStyle w:val="VerbatimChar"/>
        </w:rPr>
        <w:t xml:space="preserve">│  └─ package.json / pyproject.toml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│  └─ migrate_calcs.js     # Scripts de importação de dados antigos (opcional)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API.md               # Documentação das rotas do back‑end</w:t>
      </w:r>
      <w:r>
        <w:br/>
      </w:r>
      <w:r>
        <w:rPr>
          <w:rStyle w:val="VerbatimChar"/>
        </w:rPr>
        <w:t xml:space="preserve">│  ├─ calculators.md       # Descrição de cada cálculo e referências clínicas</w:t>
      </w:r>
      <w:r>
        <w:br/>
      </w:r>
      <w:r>
        <w:rPr>
          <w:rStyle w:val="VerbatimChar"/>
        </w:rPr>
        <w:t xml:space="preserve">│  └─ CONTRIBUTING.md      # Guia para contribuidores</w:t>
      </w:r>
      <w:r>
        <w:br/>
      </w:r>
      <w:r>
        <w:rPr>
          <w:rStyle w:val="VerbatimChar"/>
        </w:rPr>
        <w:t xml:space="preserve">└─ README.md</w:t>
      </w:r>
    </w:p>
    <w:p>
      <w:pPr>
        <w:pStyle w:val="FirstParagraph"/>
      </w:pPr>
      <w:r>
        <w:t xml:space="preserve">Essa estrutura separa claramente o front‑end e o back‑end, facilitando a manutenção e a colaboração. As calculadoras e questionários ficam em pastas individuais, cada uma com sua lógica de cálculo isolada (</w:t>
      </w:r>
      <w:r>
        <w:rPr>
          <w:rStyle w:val="VerbatimChar"/>
        </w:rPr>
        <w:t xml:space="preserve">logic.ts</w:t>
      </w:r>
      <w:r>
        <w:t xml:space="preserve">) e interface (</w:t>
      </w:r>
      <w:r>
        <w:rPr>
          <w:rStyle w:val="VerbatimChar"/>
        </w:rPr>
        <w:t xml:space="preserve">index.tsx</w:t>
      </w:r>
      <w:r>
        <w:t xml:space="preserve">). A pasta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centraliza as cores e estilos comuns.</w:t>
      </w:r>
    </w:p>
    <w:bookmarkEnd w:id="33"/>
    <w:bookmarkEnd w:id="34"/>
    <w:bookmarkStart w:id="38" w:name="Xba8f2dd794174002a9ad4abb81620f77182393f"/>
    <w:p>
      <w:pPr>
        <w:pStyle w:val="Heading2"/>
      </w:pPr>
      <w:r>
        <w:t xml:space="preserve">5. Integração e normalização das calculadoras</w:t>
      </w:r>
    </w:p>
    <w:bookmarkStart w:id="35" w:name="extração-da-lógica"/>
    <w:p>
      <w:pPr>
        <w:pStyle w:val="Heading3"/>
      </w:pPr>
      <w:r>
        <w:t xml:space="preserve">5.1. Extração da lógica</w:t>
      </w:r>
    </w:p>
    <w:p>
      <w:pPr>
        <w:pStyle w:val="FirstParagraph"/>
      </w:pPr>
      <w:r>
        <w:t xml:space="preserve">Cada arquivo JavaScript existente contém a função de cálculo específica; por exemplo, em</w:t>
      </w:r>
      <w:r>
        <w:t xml:space="preserve"> </w:t>
      </w:r>
      <w:r>
        <w:rPr>
          <w:b/>
          <w:bCs/>
        </w:rPr>
        <w:t xml:space="preserve">CALC SINUSITE</w:t>
      </w:r>
      <w:r>
        <w:t xml:space="preserve"> </w:t>
      </w:r>
      <w:r>
        <w:t xml:space="preserve">as funções</w:t>
      </w:r>
      <w:r>
        <w:t xml:space="preserve"> </w:t>
      </w:r>
      <w:r>
        <w:rPr>
          <w:rStyle w:val="VerbatimChar"/>
        </w:rPr>
        <w:t xml:space="preserve">calculateChance</w:t>
      </w:r>
      <w:r>
        <w:t xml:space="preserve"> </w:t>
      </w:r>
      <w:r>
        <w:t xml:space="preserve">retornam o percentual de chance com base nos sintomas selecionados. Para reutilizar essa lógica em React:</w:t>
      </w:r>
    </w:p>
    <w:p>
      <w:pPr>
        <w:pStyle w:val="SourceCode"/>
      </w:pPr>
      <w:r>
        <w:rPr>
          <w:rStyle w:val="VerbatimChar"/>
        </w:rPr>
        <w:t xml:space="preserve">// frontend/src/calculators/SinusiteCalc/logic.ts</w:t>
      </w:r>
      <w:r>
        <w:br/>
      </w:r>
      <w:r>
        <w:rPr>
          <w:rStyle w:val="VerbatimChar"/>
        </w:rPr>
        <w:t xml:space="preserve">export function calculateSinusiteEPOS(symptoms: string[]): number {</w:t>
      </w:r>
      <w:r>
        <w:br/>
      </w:r>
      <w:r>
        <w:rPr>
          <w:rStyle w:val="VerbatimChar"/>
        </w:rPr>
        <w:t xml:space="preserve">  // lógica extraída de sinusite.js</w:t>
      </w:r>
      <w:r>
        <w:br/>
      </w:r>
      <w:r>
        <w:rPr>
          <w:rStyle w:val="VerbatimChar"/>
        </w:rPr>
        <w:t xml:space="preserve">  if (symptoms.includes('Sintomas graves ou sintomas durando mais de 10 dias')) {</w:t>
      </w:r>
      <w:r>
        <w:br/>
      </w:r>
      <w:r>
        <w:rPr>
          <w:rStyle w:val="VerbatimChar"/>
        </w:rPr>
        <w:t xml:space="preserve">    return 95;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… demais condições …</w:t>
      </w:r>
      <w:r>
        <w:br/>
      </w:r>
      <w:r>
        <w:rPr>
          <w:rStyle w:val="VerbatimChar"/>
        </w:rPr>
        <w:t xml:space="preserve">  return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calculateSinusiteAAO(symptoms: string[]): number {</w:t>
      </w:r>
      <w:r>
        <w:br/>
      </w:r>
      <w:r>
        <w:rPr>
          <w:rStyle w:val="VerbatimChar"/>
        </w:rPr>
        <w:t xml:space="preserve">  // … extraído de sinusite.js …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 componente React, esses métodos são importados e utilizados quando o usuário envia o formulário. Os dados são então enviados ao back‑end via</w:t>
      </w:r>
      <w:r>
        <w:t xml:space="preserve"> </w:t>
      </w:r>
      <w:r>
        <w:rPr>
          <w:rStyle w:val="VerbatimChar"/>
        </w:rPr>
        <w:t xml:space="preserve">fetch('/results', ...)</w:t>
      </w:r>
      <w:r>
        <w:t xml:space="preserve">.</w:t>
      </w:r>
    </w:p>
    <w:bookmarkEnd w:id="35"/>
    <w:bookmarkStart w:id="36" w:name="padronização-de-formulários"/>
    <w:p>
      <w:pPr>
        <w:pStyle w:val="Heading3"/>
      </w:pPr>
      <w:r>
        <w:t xml:space="preserve">5.2. Padronização de formulários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</w:t>
      </w:r>
      <w:r>
        <w:t xml:space="preserve">: usar componentes reutilizáveis para checkboxes, sliders e campos numéricos. Isso garante consistência visual e facilita adaptação para dispositivos móveis.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Validação</w:t>
      </w:r>
      <w:r>
        <w:t xml:space="preserve">: aplicar validações antes de chamar a função de cálculo; apresentar mensagens de erro acessíveis se campos obrigatórios estiverem vazios.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Exibição de resultados</w:t>
      </w:r>
      <w:r>
        <w:t xml:space="preserve">: utilizar um componente comum (</w:t>
      </w:r>
      <w:r>
        <w:rPr>
          <w:rStyle w:val="VerbatimChar"/>
        </w:rPr>
        <w:t xml:space="preserve">ResultCard</w:t>
      </w:r>
      <w:r>
        <w:t xml:space="preserve">) que recebe o resultado numérico e o interpreta (por exemplo, “Chance de sinusite bacteriana: 70%”). Em questionários como SNOT‑22 ou NOSE, o resultado pode ser classificado (leve, moderado, severo).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Navegação</w:t>
      </w:r>
      <w:r>
        <w:t xml:space="preserve">: adicionar breadcrumbs ou barra de progresso para questionários longos, permitindo que o usuário acompanhe seu avanço.</w:t>
      </w:r>
    </w:p>
    <w:bookmarkEnd w:id="36"/>
    <w:bookmarkStart w:id="37" w:name="dados-e-metadados"/>
    <w:p>
      <w:pPr>
        <w:pStyle w:val="Heading3"/>
      </w:pPr>
      <w:r>
        <w:t xml:space="preserve">5.3. Dados e metadados</w:t>
      </w:r>
    </w:p>
    <w:p>
      <w:pPr>
        <w:pStyle w:val="FirstParagraph"/>
      </w:pPr>
      <w:r>
        <w:t xml:space="preserve">Para permitir análise futura, cada resultado deve ser acompanhado de</w:t>
      </w:r>
      <w:r>
        <w:t xml:space="preserve"> </w:t>
      </w:r>
      <w:r>
        <w:rPr>
          <w:b/>
          <w:bCs/>
        </w:rPr>
        <w:t xml:space="preserve">metadados</w:t>
      </w:r>
      <w:r>
        <w:t xml:space="preserve">, como:</w:t>
      </w:r>
    </w:p>
    <w:p>
      <w:pPr>
        <w:pStyle w:val="Compact"/>
        <w:numPr>
          <w:ilvl w:val="0"/>
          <w:numId w:val="1006"/>
        </w:numPr>
      </w:pPr>
      <w:r>
        <w:t xml:space="preserve">Identificador do cálculo (nome, versão);</w:t>
      </w:r>
    </w:p>
    <w:p>
      <w:pPr>
        <w:pStyle w:val="Compact"/>
        <w:numPr>
          <w:ilvl w:val="0"/>
          <w:numId w:val="1006"/>
        </w:numPr>
      </w:pPr>
      <w:r>
        <w:t xml:space="preserve">Data/hora de realização;</w:t>
      </w:r>
    </w:p>
    <w:p>
      <w:pPr>
        <w:pStyle w:val="Compact"/>
        <w:numPr>
          <w:ilvl w:val="0"/>
          <w:numId w:val="1006"/>
        </w:numPr>
      </w:pPr>
      <w:r>
        <w:t xml:space="preserve">Identificador do usuário/paciente (pseudonimizado);</w:t>
      </w:r>
    </w:p>
    <w:p>
      <w:pPr>
        <w:pStyle w:val="Compact"/>
        <w:numPr>
          <w:ilvl w:val="0"/>
          <w:numId w:val="1006"/>
        </w:numPr>
      </w:pPr>
      <w:r>
        <w:t xml:space="preserve">Parâmetros de entrada (respostas individuais);</w:t>
      </w:r>
    </w:p>
    <w:p>
      <w:pPr>
        <w:pStyle w:val="Compact"/>
        <w:numPr>
          <w:ilvl w:val="0"/>
          <w:numId w:val="1006"/>
        </w:numPr>
      </w:pPr>
      <w:r>
        <w:t xml:space="preserve">Escore final e interpretação.</w:t>
      </w:r>
    </w:p>
    <w:p>
      <w:pPr>
        <w:pStyle w:val="FirstParagraph"/>
      </w:pPr>
      <w:r>
        <w:t xml:space="preserve">Esses dados possibilitam auditoria e construção de dashboards. A integração de dados de saúde eficiente exige governança clara, formatos padronizados e colaboração entre áreas, conforme destacado pelo guia de integração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7"/>
    <w:bookmarkEnd w:id="38"/>
    <w:bookmarkStart w:id="39" w:name="X63c726b79767eeb1f1d57b3b911efe26c86a718"/>
    <w:p>
      <w:pPr>
        <w:pStyle w:val="Heading2"/>
      </w:pPr>
      <w:r>
        <w:t xml:space="preserve">6. Integração com OTTO Triagem e outras aplicações</w:t>
      </w:r>
    </w:p>
    <w:p>
      <w:pPr>
        <w:pStyle w:val="FirstParagraph"/>
      </w:pPr>
      <w:r>
        <w:t xml:space="preserve">Para que o painel médico do OTTO Triagem consuma os resultados das calculadoras em tempo real: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específicos</w:t>
      </w:r>
      <w:r>
        <w:t xml:space="preserve">: implementar rotas no back‑end como</w:t>
      </w:r>
      <w:r>
        <w:t xml:space="preserve"> </w:t>
      </w:r>
      <w:r>
        <w:rPr>
          <w:rStyle w:val="VerbatimChar"/>
        </w:rPr>
        <w:t xml:space="preserve">GET /patients/{id}/results</w:t>
      </w:r>
      <w:r>
        <w:t xml:space="preserve"> </w:t>
      </w:r>
      <w:r>
        <w:t xml:space="preserve">para obter todos os resultados de um paciente e</w:t>
      </w:r>
      <w:r>
        <w:t xml:space="preserve"> </w:t>
      </w:r>
      <w:r>
        <w:rPr>
          <w:rStyle w:val="VerbatimChar"/>
        </w:rPr>
        <w:t xml:space="preserve">GET /calculators/{id}/results</w:t>
      </w:r>
      <w:r>
        <w:t xml:space="preserve"> </w:t>
      </w:r>
      <w:r>
        <w:t xml:space="preserve">para obter histórico de um cálculo. Esses endpoints podem retornar dados em formato JSON ou FHIR</w:t>
      </w:r>
      <w:r>
        <w:t xml:space="preserve"> </w:t>
      </w:r>
      <w:r>
        <w:rPr>
          <w:rStyle w:val="VerbatimChar"/>
        </w:rPr>
        <w:t xml:space="preserve">QuestionnaireResponse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Webhooks/eventos</w:t>
      </w:r>
      <w:r>
        <w:t xml:space="preserve">: opcionalmente, emitir eventos (por exemplo, via WebSocket ou serviço de mensagens) sempre que um novo cálculo for realizado. O painel poderia assinar esses eventos para atualizar dados em tempo real.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Autenticação integrada</w:t>
      </w:r>
      <w:r>
        <w:t xml:space="preserve">: caso o OTTO Triagem já possua sistema de login, considerar Single Sign‑On (SSO) usando OAuth2/OIDC para que médicos acessem o hub sem múltiplos logins.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Exportação de dados</w:t>
      </w:r>
      <w:r>
        <w:t xml:space="preserve">: permitir exportar resultados em formatos CSV ou FHIR para estudos científicos. Essa prática promove interoperabilidade e transparência. O guia de integração destaca que padrões de dados e tecnologias apropriadas são essenciais para o sucesso de integrações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9"/>
    <w:bookmarkStart w:id="40" w:name="governança-segurança-e-conformidade"/>
    <w:p>
      <w:pPr>
        <w:pStyle w:val="Heading2"/>
      </w:pPr>
      <w:r>
        <w:t xml:space="preserve">7. Governança, segurança e conformidade</w:t>
      </w:r>
    </w:p>
    <w:p>
      <w:pPr>
        <w:pStyle w:val="FirstParagraph"/>
      </w:pPr>
      <w:r>
        <w:t xml:space="preserve">Projetos de saúde lidam com dados sensíveis; portanto, é fundamental assegurar: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Governança de dados</w:t>
      </w:r>
      <w:r>
        <w:t xml:space="preserve">: definir papéis claros (quem pode criar, editar, visualizar resultados) e processos de qualidade. O guia de integração enfatiza que a ausência de governança pode gerar caos e riscos de compliance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Segurança</w:t>
      </w:r>
      <w:r>
        <w:t xml:space="preserve">: criptografia em trânsito (HTTPS) e em repouso, autenticação forte (dois fatores) e monitoramento de acesso. Logs de auditoria devem registrar todas as interações.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Anonimização/pseudonimização</w:t>
      </w:r>
      <w:r>
        <w:t xml:space="preserve">: ao armazenar dados de pacientes para estudos, remover identificadores diretos e utilizar IDs aleatórios.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Adequação legal</w:t>
      </w:r>
      <w:r>
        <w:t xml:space="preserve">: cumprir normas locais (LGPD no Brasil), HIPAA (caso haja integração internacional) e regulamentações de pesquisa.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Acessibilidade digital</w:t>
      </w:r>
      <w:r>
        <w:t xml:space="preserve">: seguir WCAG 2.1 ou superior, garantindo que pessoas com deficiência possam utilizar as calculadoras. O guia de UI para saúde reforça que interfaces precisam ser acessíveis e capazes de reduzir a carga cognitiva</w:t>
      </w:r>
      <w:hyperlink r:id="rId23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40"/>
    <w:bookmarkStart w:id="41" w:name="passos-recomendados-para-implementação"/>
    <w:p>
      <w:pPr>
        <w:pStyle w:val="Heading2"/>
      </w:pPr>
      <w:r>
        <w:t xml:space="preserve">8. Passos recomendados para implementação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Criar o repositório “otto‑calc‑hub”</w:t>
      </w:r>
      <w:r>
        <w:t xml:space="preserve"> </w:t>
      </w:r>
      <w:r>
        <w:t xml:space="preserve">no GitHub (pode ser privado inicialmente). Definir políticas de branch, issues e PRs.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Configurar ambiente de desenvolvimento</w:t>
      </w:r>
      <w:r>
        <w:t xml:space="preserve"> </w:t>
      </w:r>
      <w:r>
        <w:t xml:space="preserve">para front‑end (Node.js/NPM) e back‑end (Node.js ou Python). Criar templates de commit e linting.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Construir a base do front‑end</w:t>
      </w:r>
      <w:r>
        <w:t xml:space="preserve">: implementar tema global com as cores definidas, componentes básicos (botões, inputs) e página de listagem de calculadoras.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Migrar cada calculadora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Analisar o código existente, extraindo as funções de cálculo para módulos TypeScript/JavaScript;</w:t>
      </w:r>
    </w:p>
    <w:p>
      <w:pPr>
        <w:pStyle w:val="Compact"/>
        <w:numPr>
          <w:ilvl w:val="0"/>
          <w:numId w:val="1009"/>
        </w:numPr>
      </w:pPr>
      <w:r>
        <w:t xml:space="preserve">Criar um componente React com o mesmo fluxo (inputs, cálculo, exibição) utilizando o tema global;</w:t>
      </w:r>
    </w:p>
    <w:p>
      <w:pPr>
        <w:pStyle w:val="Compact"/>
        <w:numPr>
          <w:ilvl w:val="0"/>
          <w:numId w:val="1009"/>
        </w:numPr>
      </w:pPr>
      <w:r>
        <w:t xml:space="preserve">Adicionar testes unitários para garantir a equivalência com o comportamento original.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Desenvolver o back‑end</w:t>
      </w:r>
      <w:r>
        <w:t xml:space="preserve">: definir esquemas de banco, implementar endpoints e autenticação. Iniciar com armazenamento local (SQLite ou arquivo JSON) e evoluir para PostgreSQL/MongoDB conforme necessário.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Implementar integração</w:t>
      </w:r>
      <w:r>
        <w:t xml:space="preserve">: criar chamadas API no front‑end para enviar resultados após cada cálculo. Configurar CORS e tokens de autenticação.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Documentar</w:t>
      </w:r>
      <w:r>
        <w:t xml:space="preserve">: escrever documentação detalhada das rotas, estruturas de dados e guias clínicos. Incluir referências bibliográficas e indicações de validação clínica para cada calculadora (PROMs e scores). A documentação é essencial para confiança e adoção.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Hospedagem e deploy</w:t>
      </w:r>
      <w:r>
        <w:t xml:space="preserve">: utilizar serviços como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para o front‑end e back‑end. Configurar CI/CD no GitHub (actions) para automatizar testes e deploy.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Testes de usabilidade e acessibilidade</w:t>
      </w:r>
      <w:r>
        <w:t xml:space="preserve">: envolver médicos e pacientes em testes de interface, ajustando fluxos para reduzir a carga cognitiva e garantir clareza</w:t>
      </w:r>
      <w:hyperlink r:id="rId23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Evolução para FHIR</w:t>
      </w:r>
      <w:r>
        <w:t xml:space="preserve">: quando estiver estável, avaliar a serialização das respostas em padrão FHIR (Questionnaire e QuestionnaireResponse) para facilitar integrações com outros sistemas clínicos.</w:t>
      </w:r>
    </w:p>
    <w:bookmarkEnd w:id="41"/>
    <w:bookmarkStart w:id="42" w:name="conclusão"/>
    <w:p>
      <w:pPr>
        <w:pStyle w:val="Heading2"/>
      </w:pPr>
      <w:r>
        <w:t xml:space="preserve">9. Conclusão</w:t>
      </w:r>
    </w:p>
    <w:p>
      <w:pPr>
        <w:pStyle w:val="FirstParagraph"/>
      </w:pPr>
      <w:r>
        <w:t xml:space="preserve">Centralizar todas as calculadoras e PROMs em um</w:t>
      </w:r>
      <w:r>
        <w:t xml:space="preserve"> </w:t>
      </w:r>
      <w:r>
        <w:rPr>
          <w:b/>
          <w:bCs/>
        </w:rPr>
        <w:t xml:space="preserve">hub</w:t>
      </w:r>
      <w:r>
        <w:t xml:space="preserve"> </w:t>
      </w:r>
      <w:r>
        <w:t xml:space="preserve">bem estruturado melhora a organização, reduz redundância e oferece base sólida para integrações futuras. Utilizar um front‑end moderno com componentes reutilizáveis e uma paleta de cores consistente garante experiência coesa e acessível. Um back‑end robusto com API padronizada permite armazenar resultados, exportá‑los para o painel médico do</w:t>
      </w:r>
      <w:r>
        <w:t xml:space="preserve"> </w:t>
      </w:r>
      <w:r>
        <w:rPr>
          <w:b/>
          <w:bCs/>
        </w:rPr>
        <w:t xml:space="preserve">OTTO Triagem</w:t>
      </w:r>
      <w:r>
        <w:t xml:space="preserve"> </w:t>
      </w:r>
      <w:r>
        <w:t xml:space="preserve">e para estudos clínicos, alinhando‑se às melhores práticas de integração de dados de saúde</w:t>
      </w:r>
      <w:hyperlink r:id="rId31">
        <w:r>
          <w:rPr>
            <w:rStyle w:val="Hyperlink"/>
          </w:rPr>
          <w:t xml:space="preserve">[6]</w:t>
        </w:r>
      </w:hyperlink>
      <w:r>
        <w:t xml:space="preserve">. Seguindo os passos propostos neste plano, será possível transformar as calculadoras antigas em um ecossistema modular e interoperável, pronto para evoluir junto com as necessidades clínicas e de pesquisa.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48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Healthcare UI Design 2026: Best Practices + Examples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https://www.eleken.co/blog-posts/user-interface-design-for-healthcare-applications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The Art of Medical Colors for Healthcare Branding in 2025 | ThinkPod Agency</w:t>
      </w:r>
    </w:p>
    <w:p>
      <w:pPr>
        <w:pStyle w:val="BodyText"/>
      </w:pPr>
      <w:hyperlink r:id="rId46">
        <w:r>
          <w:rPr>
            <w:rStyle w:val="Hyperlink"/>
          </w:rPr>
          <w:t xml:space="preserve">https://thinkpodagency.com/the-art-of-medical-colors-in-healthcare-branding-in-2025/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Healthcare Data Integration Guide: Best Practices for 2025 - Pi Tech</w:t>
      </w:r>
    </w:p>
    <w:p>
      <w:pPr>
        <w:pStyle w:val="BodyText"/>
      </w:pPr>
      <w:hyperlink r:id="rId47">
        <w:r>
          <w:rPr>
            <w:rStyle w:val="Hyperlink"/>
          </w:rPr>
          <w:t xml:space="preserve">https://pi.tech/blog/healthcare-data-integration-guide</w:t>
        </w:r>
      </w:hyperlink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pi.tech/blog/healthcare-data-integration-guide" TargetMode="External" /><Relationship Type="http://schemas.openxmlformats.org/officeDocument/2006/relationships/hyperlink" Id="rId31" Target="https://pi.tech/blog/healthcare-data-integration-guide#:~:text=Key%20Takeaways" TargetMode="External" /><Relationship Type="http://schemas.openxmlformats.org/officeDocument/2006/relationships/hyperlink" Id="rId46" Target="https://thinkpodagency.com/the-art-of-medical-colors-in-healthcare-branding-in-2025/" TargetMode="External" /><Relationship Type="http://schemas.openxmlformats.org/officeDocument/2006/relationships/hyperlink" Id="rId26" Target="https://thinkpodagency.com/the-art-of-medical-colors-in-healthcare-branding-in-2025/#:~:text=Blue%20and%20white%20have%20long,variations%20of%20the%20same%20brand" TargetMode="External" /><Relationship Type="http://schemas.openxmlformats.org/officeDocument/2006/relationships/hyperlink" Id="rId27" Target="https://thinkpodagency.com/the-art-of-medical-colors-in-healthcare-branding-in-2025/#:~:text=Healthcare%20brands%20are%20starting%20to,add%20warmth%2C%20innovation%2C%20or%20distinction" TargetMode="External" /><Relationship Type="http://schemas.openxmlformats.org/officeDocument/2006/relationships/hyperlink" Id="rId25" Target="https://thinkpodagency.com/the-art-of-medical-colors-in-healthcare-branding-in-2025/#:~:text=New%20Considerations%20for%20Healthcare%20Colors,in%202025" TargetMode="External" /><Relationship Type="http://schemas.openxmlformats.org/officeDocument/2006/relationships/hyperlink" Id="rId24" Target="https://thinkpodagency.com/the-art-of-medical-colors-in-healthcare-branding-in-2025/#:~:text=The%20psychology%20behind%20color%20choices,dependable%20anchors%20for%20healthcare%20design" TargetMode="External" /><Relationship Type="http://schemas.openxmlformats.org/officeDocument/2006/relationships/hyperlink" Id="rId45" Target="https://www.eleken.co/blog-posts/user-interface-design-for-healthcare-applications" TargetMode="External" /><Relationship Type="http://schemas.openxmlformats.org/officeDocument/2006/relationships/hyperlink" Id="rId23" Target="https://www.eleken.co/blog-posts/user-interface-design-for-healthcare-applications#:~:text=Healthcare%20UI%20design%20must%20support,centered%20digit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pi.tech/blog/healthcare-data-integration-guide" TargetMode="External" /><Relationship Type="http://schemas.openxmlformats.org/officeDocument/2006/relationships/hyperlink" Id="rId31" Target="https://pi.tech/blog/healthcare-data-integration-guide#:~:text=Key%20Takeaways" TargetMode="External" /><Relationship Type="http://schemas.openxmlformats.org/officeDocument/2006/relationships/hyperlink" Id="rId46" Target="https://thinkpodagency.com/the-art-of-medical-colors-in-healthcare-branding-in-2025/" TargetMode="External" /><Relationship Type="http://schemas.openxmlformats.org/officeDocument/2006/relationships/hyperlink" Id="rId26" Target="https://thinkpodagency.com/the-art-of-medical-colors-in-healthcare-branding-in-2025/#:~:text=Blue%20and%20white%20have%20long,variations%20of%20the%20same%20brand" TargetMode="External" /><Relationship Type="http://schemas.openxmlformats.org/officeDocument/2006/relationships/hyperlink" Id="rId27" Target="https://thinkpodagency.com/the-art-of-medical-colors-in-healthcare-branding-in-2025/#:~:text=Healthcare%20brands%20are%20starting%20to,add%20warmth%2C%20innovation%2C%20or%20distinction" TargetMode="External" /><Relationship Type="http://schemas.openxmlformats.org/officeDocument/2006/relationships/hyperlink" Id="rId25" Target="https://thinkpodagency.com/the-art-of-medical-colors-in-healthcare-branding-in-2025/#:~:text=New%20Considerations%20for%20Healthcare%20Colors,in%202025" TargetMode="External" /><Relationship Type="http://schemas.openxmlformats.org/officeDocument/2006/relationships/hyperlink" Id="rId24" Target="https://thinkpodagency.com/the-art-of-medical-colors-in-healthcare-branding-in-2025/#:~:text=The%20psychology%20behind%20color%20choices,dependable%20anchors%20for%20healthcare%20design" TargetMode="External" /><Relationship Type="http://schemas.openxmlformats.org/officeDocument/2006/relationships/hyperlink" Id="rId45" Target="https://www.eleken.co/blog-posts/user-interface-design-for-healthcare-applications" TargetMode="External" /><Relationship Type="http://schemas.openxmlformats.org/officeDocument/2006/relationships/hyperlink" Id="rId23" Target="https://www.eleken.co/blog-posts/user-interface-design-for-healthcare-applications#:~:text=Healthcare%20UI%20design%20must%20support,centered%20digit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2026-03-30T01:47:19Z</dcterms:created>
  <dcterms:modified xsi:type="dcterms:W3CDTF">2026-03-30T01:47:19Z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