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52"/>
        </w:rPr>
        <w:t>Conversational RAG Chatbot</w:t>
      </w:r>
    </w:p>
    <w:p>
      <w:pPr>
        <w:jc w:val="center"/>
      </w:pPr>
      <w:r>
        <w:rPr>
          <w:rFonts w:ascii="Arial" w:hAnsi="Arial"/>
          <w:i/>
          <w:color w:val="555555"/>
          <w:sz w:val="28"/>
        </w:rPr>
        <w:t>Localized Civil Services Rule Assistant — Project Documentation</w:t>
      </w:r>
    </w:p>
    <w:p>
      <w:pPr>
        <w:spacing w:after="480"/>
      </w:pPr>
    </w:p>
    <w:p>
      <w:pPr>
        <w:pStyle w:val="Heading1"/>
      </w:pPr>
      <w:r>
        <w:t>1. System Overview &amp; Key Features</w:t>
      </w:r>
    </w:p>
    <w:p>
      <w:pPr>
        <w:spacing w:after="240"/>
      </w:pPr>
      <w:r>
        <w:t>This application is an offline-capable, highly secure, and optimized Retrieval-Augmented Generation (RAG) system designed to query government guidelines, circulars, and office memorandums (OMs).</w:t>
      </w:r>
    </w:p>
    <w:p>
      <w:pPr>
        <w:pStyle w:val="Heading2"/>
      </w:pPr>
      <w:r>
        <w:t>Core Capabilities:</w:t>
      </w:r>
    </w:p>
    <w:p>
      <w:pPr>
        <w:pStyle w:val="ListBullet"/>
        <w:spacing w:after="120"/>
      </w:pPr>
      <w:r>
        <w:rPr>
          <w:b/>
        </w:rPr>
        <w:t xml:space="preserve">Single-Click Automation: </w:t>
      </w:r>
      <w:r>
        <w:t>A single command triggers remote LLM-based categorization, parses digital/scanned PDFs, indexes them into the Qdrant database, and starts the chatbot server.</w:t>
      </w:r>
    </w:p>
    <w:p>
      <w:pPr>
        <w:pStyle w:val="ListBullet"/>
        <w:spacing w:after="120"/>
      </w:pPr>
      <w:r>
        <w:rPr>
          <w:b/>
        </w:rPr>
        <w:t xml:space="preserve">Dual Dense-Sparse Hybrid Search: </w:t>
      </w:r>
      <w:r>
        <w:t>Combines semantic understanding (Dense vectors) with precise terminology matching (Sparse vectors) natively in Qdrant using Reciprocal Rank Fusion (RRF).</w:t>
      </w:r>
    </w:p>
    <w:p>
      <w:pPr>
        <w:pStyle w:val="ListBullet"/>
        <w:spacing w:after="120"/>
      </w:pPr>
      <w:r>
        <w:rPr>
          <w:b/>
        </w:rPr>
        <w:t xml:space="preserve">Dynamic Fallback Routing: </w:t>
      </w:r>
      <w:r>
        <w:t>If search queries in a specific subfolder yield low scores (similarity &lt; 0.70), the engine dynamically relaxes the filter to the parent category so no circulars are missed.</w:t>
      </w:r>
    </w:p>
    <w:p>
      <w:pPr>
        <w:pStyle w:val="ListBullet"/>
        <w:spacing w:after="120"/>
      </w:pPr>
      <w:r>
        <w:rPr>
          <w:b/>
        </w:rPr>
        <w:t xml:space="preserve">Vision OCR Fallback: </w:t>
      </w:r>
      <w:r>
        <w:t>Photocopied or scanned documents are automatically identified and sent to the gemma-4-vision model on Port 3001 for high-fidelity transcription.</w:t>
      </w:r>
    </w:p>
    <w:p>
      <w:pPr>
        <w:pStyle w:val="ListBullet"/>
        <w:spacing w:after="120"/>
      </w:pPr>
      <w:r>
        <w:rPr>
          <w:b/>
        </w:rPr>
        <w:t xml:space="preserve">Vocabulary-Free Sparse Indexing: </w:t>
      </w:r>
      <w:r>
        <w:t>Uses a deterministic Adler32 checksum hashing trick to map alphanumeric keywords to sparse vector indices, eliminating the need to store a dictionary index file on disk.</w:t>
      </w:r>
    </w:p>
    <w:p>
      <w:pPr>
        <w:spacing w:after="240"/>
      </w:pPr>
    </w:p>
    <w:p>
      <w:pPr>
        <w:pStyle w:val="Heading1"/>
      </w:pPr>
      <w:r>
        <w:t>2. High-Level Architecture</w:t>
      </w:r>
    </w:p>
    <w:p>
      <w:pPr>
        <w:spacing w:after="120"/>
      </w:pPr>
      <w:r>
        <w:t>The system architecture is divided into two primary loops: the Ingestion Pipeline (offline) and the Retrieval &amp; Chat response loop (online).</w:t>
      </w:r>
    </w:p>
    <w:p>
      <w:pPr>
        <w:spacing w:after="240"/>
      </w:pPr>
      <w:r>
        <w:rPr>
          <w:b/>
        </w:rPr>
        <w:t>1. Ingestion:</w:t>
        <w:br/>
      </w:r>
      <w:r>
        <w:t xml:space="preserve">   - PDF files are scanned for layout and text.</w:t>
        <w:br/>
        <w:t xml:space="preserve">   - Scanned images/pages automatically invoke the Port 3001 OCR transcriber.</w:t>
        <w:br/>
        <w:t xml:space="preserve">   - Embedded text chunks are converted to 2048-dim dense embeddings and hashed sparse tokens.</w:t>
        <w:br/>
        <w:t xml:space="preserve">   - Vectors are written into the local Qdrant collection.</w:t>
        <w:br/>
      </w:r>
      <w:r>
        <w:rPr>
          <w:b/>
        </w:rPr>
        <w:t>2. Query Retrieval:</w:t>
        <w:br/>
      </w:r>
      <w:r>
        <w:t xml:space="preserve">   - The Streamlit interface takes a query and target folder constraint.</w:t>
        <w:br/>
        <w:t xml:space="preserve">   - Performs RRF search in Qdrant. If similarity is low, it dynamically expands filters.</w:t>
        <w:br/>
        <w:t xml:space="preserve">   - Context chunks are passed to the remote generation LLM to compile the final response.</w:t>
      </w:r>
    </w:p>
    <w:p>
      <w:pPr>
        <w:pStyle w:val="Heading1"/>
      </w:pPr>
      <w:r>
        <w:t>3. Document Directory Layout</w:t>
      </w:r>
    </w:p>
    <w:p>
      <w:r>
        <w:t>The files are rigorously organized in a strict two-tier folder tree: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Broad Category (Tier 1)</w:t>
            </w:r>
          </w:p>
        </w:tc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Subcategory (Tier 2)</w:t>
            </w:r>
          </w:p>
        </w:tc>
        <w:tc>
          <w:tcPr>
            <w:tcW w:type="dxa" w:w="2880"/>
            <w:shd w:fill="1B365D"/>
          </w:tcPr>
          <w:p>
            <w:r>
              <w:rPr>
                <w:b/>
                <w:color w:val="FFFFFF"/>
              </w:rPr>
              <w:t>Content Description</w:t>
            </w:r>
          </w:p>
        </w:tc>
      </w:tr>
      <w:tr>
        <w:tc>
          <w:tcPr>
            <w:tcW w:type="dxa" w:w="2880"/>
          </w:tcPr>
          <w:p>
            <w:r>
              <w:t>1_Central_Procurement_Commission</w:t>
            </w:r>
          </w:p>
        </w:tc>
        <w:tc>
          <w:tcPr>
            <w:tcW w:type="dxa" w:w="2880"/>
          </w:tcPr>
          <w:p>
            <w:r>
              <w:t>Procurement_Guidelines_&amp;_GFR</w:t>
            </w:r>
          </w:p>
        </w:tc>
        <w:tc>
          <w:tcPr>
            <w:tcW w:type="dxa" w:w="2880"/>
          </w:tcPr>
          <w:p>
            <w:r>
              <w:t>GFR manual, purchase guidelines</w:t>
            </w:r>
          </w:p>
        </w:tc>
      </w:tr>
      <w:tr>
        <w:tc>
          <w:tcPr>
            <w:tcW w:type="dxa" w:w="2880"/>
          </w:tcPr>
          <w:p>
            <w:r>
              <w:t>1_Central_Procurement_Commission</w:t>
            </w:r>
          </w:p>
        </w:tc>
        <w:tc>
          <w:tcPr>
            <w:tcW w:type="dxa" w:w="2880"/>
          </w:tcPr>
          <w:p>
            <w:r>
              <w:t>Tenders_&amp;_Bidding</w:t>
            </w:r>
          </w:p>
        </w:tc>
        <w:tc>
          <w:tcPr>
            <w:tcW w:type="dxa" w:w="2880"/>
          </w:tcPr>
          <w:p>
            <w:r>
              <w:t>Tender notices, bidding rules, Nit instructions</w:t>
            </w:r>
          </w:p>
        </w:tc>
      </w:tr>
      <w:tr>
        <w:tc>
          <w:tcPr>
            <w:tcW w:type="dxa" w:w="2880"/>
          </w:tcPr>
          <w:p>
            <w:r>
              <w:t>1_Central_Procurement_Commission</w:t>
            </w:r>
          </w:p>
        </w:tc>
        <w:tc>
          <w:tcPr>
            <w:tcW w:type="dxa" w:w="2880"/>
          </w:tcPr>
          <w:p>
            <w:r>
              <w:t>GeM_&amp;_Contracts</w:t>
            </w:r>
          </w:p>
        </w:tc>
        <w:tc>
          <w:tcPr>
            <w:tcW w:type="dxa" w:w="2880"/>
          </w:tcPr>
          <w:p>
            <w:r>
              <w:t>GeM portal directives, contracts, securities</w:t>
            </w:r>
          </w:p>
        </w:tc>
      </w:tr>
      <w:tr>
        <w:tc>
          <w:tcPr>
            <w:tcW w:type="dxa" w:w="2880"/>
          </w:tcPr>
          <w:p>
            <w:r>
              <w:t>2_Finance</w:t>
            </w:r>
          </w:p>
        </w:tc>
        <w:tc>
          <w:tcPr>
            <w:tcW w:type="dxa" w:w="2880"/>
          </w:tcPr>
          <w:p>
            <w:r>
              <w:t>Demands_for_Grants</w:t>
            </w:r>
          </w:p>
        </w:tc>
        <w:tc>
          <w:tcPr>
            <w:tcW w:type="dxa" w:w="2880"/>
          </w:tcPr>
          <w:p>
            <w:r>
              <w:t>Detailed Demands for Grants sheets</w:t>
            </w:r>
          </w:p>
        </w:tc>
      </w:tr>
      <w:tr>
        <w:tc>
          <w:tcPr>
            <w:tcW w:type="dxa" w:w="2880"/>
          </w:tcPr>
          <w:p>
            <w:r>
              <w:t>2_Finance</w:t>
            </w:r>
          </w:p>
        </w:tc>
        <w:tc>
          <w:tcPr>
            <w:tcW w:type="dxa" w:w="2880"/>
          </w:tcPr>
          <w:p>
            <w:r>
              <w:t>Accounts_&amp;_Audits</w:t>
            </w:r>
          </w:p>
        </w:tc>
        <w:tc>
          <w:tcPr>
            <w:tcW w:type="dxa" w:w="2880"/>
          </w:tcPr>
          <w:p>
            <w:r>
              <w:t>Ledger summaries, reconciliation instructions</w:t>
            </w:r>
          </w:p>
        </w:tc>
      </w:tr>
      <w:tr>
        <w:tc>
          <w:tcPr>
            <w:tcW w:type="dxa" w:w="2880"/>
          </w:tcPr>
          <w:p>
            <w:r>
              <w:t>2_Finance</w:t>
            </w:r>
          </w:p>
        </w:tc>
        <w:tc>
          <w:tcPr>
            <w:tcW w:type="dxa" w:w="2880"/>
          </w:tcPr>
          <w:p>
            <w:r>
              <w:t>General_Expenditure</w:t>
            </w:r>
          </w:p>
        </w:tc>
        <w:tc>
          <w:tcPr>
            <w:tcW w:type="dxa" w:w="2880"/>
          </w:tcPr>
          <w:p>
            <w:r>
              <w:t>Plan/non-plan financial sanctions, budget releases</w:t>
            </w:r>
          </w:p>
        </w:tc>
      </w:tr>
      <w:tr>
        <w:tc>
          <w:tcPr>
            <w:tcW w:type="dxa" w:w="2880"/>
          </w:tcPr>
          <w:p>
            <w:r>
              <w:t>2_Finance</w:t>
            </w:r>
          </w:p>
        </w:tc>
        <w:tc>
          <w:tcPr>
            <w:tcW w:type="dxa" w:w="2880"/>
          </w:tcPr>
          <w:p>
            <w:r>
              <w:t>Pay_&amp;_Increments</w:t>
            </w:r>
          </w:p>
        </w:tc>
        <w:tc>
          <w:tcPr>
            <w:tcW w:type="dxa" w:w="2880"/>
          </w:tcPr>
          <w:p>
            <w:r>
              <w:t>Pay fixations, stepping up of pay, pay matrices</w:t>
            </w:r>
          </w:p>
        </w:tc>
      </w:tr>
      <w:tr>
        <w:tc>
          <w:tcPr>
            <w:tcW w:type="dxa" w:w="2880"/>
          </w:tcPr>
          <w:p>
            <w:r>
              <w:t>3_Personnel</w:t>
            </w:r>
          </w:p>
        </w:tc>
        <w:tc>
          <w:tcPr>
            <w:tcW w:type="dxa" w:w="2880"/>
          </w:tcPr>
          <w:p>
            <w:r>
              <w:t>Recruitment_&amp;_Selection</w:t>
            </w:r>
          </w:p>
        </w:tc>
        <w:tc>
          <w:tcPr>
            <w:tcW w:type="dxa" w:w="2880"/>
          </w:tcPr>
          <w:p>
            <w:r>
              <w:t>UPSC vacancies, Direct Recruitment, appointments</w:t>
            </w:r>
          </w:p>
        </w:tc>
      </w:tr>
      <w:tr>
        <w:tc>
          <w:tcPr>
            <w:tcW w:type="dxa" w:w="2880"/>
          </w:tcPr>
          <w:p>
            <w:r>
              <w:t>3_Personnel</w:t>
            </w:r>
          </w:p>
        </w:tc>
        <w:tc>
          <w:tcPr>
            <w:tcW w:type="dxa" w:w="2880"/>
          </w:tcPr>
          <w:p>
            <w:r>
              <w:t>Vigilance_Conduct_&amp;_Discipline</w:t>
            </w:r>
          </w:p>
        </w:tc>
        <w:tc>
          <w:tcPr>
            <w:tcW w:type="dxa" w:w="2880"/>
          </w:tcPr>
          <w:p>
            <w:r>
              <w:t>Disciplinary procedures, charge sheets, conduct rules</w:t>
            </w:r>
          </w:p>
        </w:tc>
      </w:tr>
      <w:tr>
        <w:tc>
          <w:tcPr>
            <w:tcW w:type="dxa" w:w="2880"/>
          </w:tcPr>
          <w:p>
            <w:r>
              <w:t>3_Personnel</w:t>
            </w:r>
          </w:p>
        </w:tc>
        <w:tc>
          <w:tcPr>
            <w:tcW w:type="dxa" w:w="2880"/>
          </w:tcPr>
          <w:p>
            <w:r>
              <w:t>Cadre_&amp;_Promotion</w:t>
            </w:r>
          </w:p>
        </w:tc>
        <w:tc>
          <w:tcPr>
            <w:tcW w:type="dxa" w:w="2880"/>
          </w:tcPr>
          <w:p>
            <w:r>
              <w:t>Seniority rosters, APAR reviews, MACP schemes</w:t>
            </w:r>
          </w:p>
        </w:tc>
      </w:tr>
      <w:tr>
        <w:tc>
          <w:tcPr>
            <w:tcW w:type="dxa" w:w="2880"/>
          </w:tcPr>
          <w:p>
            <w:r>
              <w:t>3_Personnel</w:t>
            </w:r>
          </w:p>
        </w:tc>
        <w:tc>
          <w:tcPr>
            <w:tcW w:type="dxa" w:w="2880"/>
          </w:tcPr>
          <w:p>
            <w:r>
              <w:t>Leave_LTC_&amp;_Allowances</w:t>
            </w:r>
          </w:p>
        </w:tc>
        <w:tc>
          <w:tcPr>
            <w:tcW w:type="dxa" w:w="2880"/>
          </w:tcPr>
          <w:p>
            <w:r>
              <w:t>Travel concessions (LTC), maternity leaves, CCL rules</w:t>
            </w:r>
          </w:p>
        </w:tc>
      </w:tr>
      <w:tr>
        <w:tc>
          <w:tcPr>
            <w:tcW w:type="dxa" w:w="2880"/>
          </w:tcPr>
          <w:p>
            <w:r>
              <w:t>3_Personnel</w:t>
            </w:r>
          </w:p>
        </w:tc>
        <w:tc>
          <w:tcPr>
            <w:tcW w:type="dxa" w:w="2880"/>
          </w:tcPr>
          <w:p>
            <w:r>
              <w:t>Retirement_&amp;_Pension</w:t>
            </w:r>
          </w:p>
        </w:tc>
        <w:tc>
          <w:tcPr>
            <w:tcW w:type="dxa" w:w="2880"/>
          </w:tcPr>
          <w:p>
            <w:r>
              <w:t>Superannuation, pension calculations, NPS directives</w:t>
            </w:r>
          </w:p>
        </w:tc>
      </w:tr>
      <w:tr>
        <w:tc>
          <w:tcPr>
            <w:tcW w:type="dxa" w:w="2880"/>
          </w:tcPr>
          <w:p>
            <w:r>
              <w:t>3_Personnel</w:t>
            </w:r>
          </w:p>
        </w:tc>
        <w:tc>
          <w:tcPr>
            <w:tcW w:type="dxa" w:w="2880"/>
          </w:tcPr>
          <w:p>
            <w:r>
              <w:t>Deputation_&amp;_Transfer</w:t>
            </w:r>
          </w:p>
        </w:tc>
        <w:tc>
          <w:tcPr>
            <w:tcW w:type="dxa" w:w="2880"/>
          </w:tcPr>
          <w:p>
            <w:r>
              <w:t>Rotational transfers, inter-cadre deputations</w:t>
            </w:r>
          </w:p>
        </w:tc>
      </w:tr>
    </w:tbl>
    <w:p>
      <w:pPr>
        <w:spacing w:after="240"/>
      </w:pPr>
    </w:p>
    <w:p>
      <w:pPr>
        <w:pStyle w:val="Heading1"/>
      </w:pPr>
      <w:r>
        <w:t>4. Step-by-Step Setup</w:t>
      </w:r>
    </w:p>
    <w:p>
      <w:r>
        <w:t>Follow these steps to run the unified RAG application:</w:t>
      </w:r>
    </w:p>
    <w:p>
      <w:pPr>
        <w:spacing w:after="120"/>
      </w:pPr>
      <w:r>
        <w:rPr>
          <w:b/>
        </w:rPr>
        <w:t xml:space="preserve">Step 1: </w:t>
      </w:r>
      <w:r>
        <w:t>Navigate to the project root directory: `cd /home/administrator/Downloads/rag-chatbot`</w:t>
      </w:r>
    </w:p>
    <w:p>
      <w:pPr>
        <w:spacing w:after="120"/>
      </w:pPr>
      <w:r>
        <w:rPr>
          <w:b/>
        </w:rPr>
        <w:t xml:space="preserve">Step 2: </w:t>
      </w:r>
      <w:r>
        <w:t>Activate virtual environment: `source .venv/bin/activate`</w:t>
      </w:r>
    </w:p>
    <w:p>
      <w:pPr>
        <w:spacing w:after="120"/>
      </w:pPr>
      <w:r>
        <w:rPr>
          <w:b/>
        </w:rPr>
        <w:t xml:space="preserve">Step 3: </w:t>
      </w:r>
      <w:r>
        <w:t>Install missing python packages: `pip install -r requirements.txt`</w:t>
      </w:r>
    </w:p>
    <w:p>
      <w:pPr>
        <w:spacing w:after="120"/>
      </w:pPr>
      <w:r>
        <w:rPr>
          <w:b/>
        </w:rPr>
        <w:t xml:space="preserve">Step 4: </w:t>
      </w:r>
      <w:r>
        <w:t>Execute the unified pipeline command: `python run_pipeline.py --skip-scrape --skip-clean --start-server`</w:t>
      </w:r>
    </w:p>
    <w:p>
      <w:pPr>
        <w:spacing w:after="120"/>
      </w:pPr>
      <w:r>
        <w:rPr>
          <w:b/>
        </w:rPr>
        <w:t xml:space="preserve">Step 5: </w:t>
      </w:r>
      <w:r>
        <w:t>Open your browser and navigate to the local chat server: `http://localhost:8501`</w:t>
      </w:r>
    </w:p>
    <w:p>
      <w:pPr>
        <w:spacing w:after="240"/>
      </w:pPr>
    </w:p>
    <w:p>
      <w:pPr>
        <w:pStyle w:val="Heading1"/>
      </w:pPr>
      <w:r>
        <w:t>5. Troubleshooting</w:t>
      </w:r>
    </w:p>
    <w:p>
      <w:pPr>
        <w:pStyle w:val="Heading2"/>
      </w:pPr>
      <w:r>
        <w:t>5.1 SQLite Catalog Database Lock</w:t>
      </w:r>
    </w:p>
    <w:p>
      <w:r>
        <w:t>If you encounter 'qdrant_db already accessed by another instance of Qdrant client', it means the Streamlit server is active and locking the DB file. Terminate the Streamlit server, re-run the ingestion pipeline, and restart the server.</w:t>
      </w:r>
    </w:p>
    <w:p>
      <w:pPr>
        <w:pStyle w:val="Heading2"/>
      </w:pPr>
      <w:r>
        <w:t>5.2 CUDA Out of Memory (OOM)</w:t>
      </w:r>
    </w:p>
    <w:p>
      <w:r>
        <w:t>If you encounter a PyTorch CUDA OOM, there are likely orphaned background processes holding GPU memory. Run 'nvidia-smi' to identify zombie PIDs, terminate them using 'kill -9 &lt;PID&gt;', and retry.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