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4"/>
        </w:rPr>
        <w:t>PROBLEM STATEMENT &amp; DATASET ANALYSIS REPORT</w:t>
      </w:r>
    </w:p>
    <w:p>
      <w:pPr>
        <w:jc w:val="center"/>
      </w:pPr>
      <w:r>
        <w:rPr>
          <w:i/>
          <w:color w:val="555555"/>
          <w:sz w:val="24"/>
        </w:rPr>
        <w:t>Problem Statement ID: RAG-CS-001</w:t>
        <w:br/>
        <w:t>Conversational AI &amp; Workflow Automation for Civil Service Guidelines</w:t>
      </w:r>
    </w:p>
    <w:p>
      <w:pPr>
        <w:spacing w:after="400"/>
      </w:pPr>
    </w:p>
    <w:p>
      <w:pPr>
        <w:pStyle w:val="Heading1"/>
      </w:pPr>
      <w:r>
        <w:t>Section A: Problem Statement Description &amp; Objectives</w:t>
      </w:r>
    </w:p>
    <w:p>
      <w:r>
        <w:t>Administrative personnel in government departments routinely verify and cross-reference queries against a massive, complex, and continuously updated collection of guidelines, circulars, office memorandums, and financial rules. The manual search latency is high, general cloud-based models pose severe hallucination and security risks, and traditional RAG indexing requires expensive complete database rebuilds on file updates.</w:t>
      </w:r>
    </w:p>
    <w:p>
      <w:pPr>
        <w:pStyle w:val="Heading2"/>
      </w:pPr>
      <w:r>
        <w:t>Key Solution Objectives:</w:t>
      </w:r>
    </w:p>
    <w:p>
      <w:pPr>
        <w:pStyle w:val="ListBullet"/>
      </w:pPr>
      <w:r>
        <w:t>Local Processing: Host models, embeddings, and database 100% offline for maximum government data security.</w:t>
      </w:r>
    </w:p>
    <w:p>
      <w:pPr>
        <w:pStyle w:val="ListBullet"/>
      </w:pPr>
      <w:r>
        <w:t>Conversational Interface: Retain multi-turn context dynamically to handle follow-up queries seamlessly.</w:t>
      </w:r>
    </w:p>
    <w:p>
      <w:pPr>
        <w:pStyle w:val="ListBullet"/>
      </w:pPr>
      <w:r>
        <w:t>Incremental Real-Time Loading: Re-index only new or modified document components without downtime.</w:t>
      </w:r>
    </w:p>
    <w:p>
      <w:pPr>
        <w:spacing w:after="200"/>
      </w:pPr>
    </w:p>
    <w:p>
      <w:pPr>
        <w:pStyle w:val="Heading1"/>
      </w:pPr>
      <w:r>
        <w:t>Section B: Dataset Specifications (AI, Analytics &amp; Automation)</w:t>
      </w:r>
    </w:p>
    <w:p>
      <w:pPr>
        <w:pStyle w:val="Heading2"/>
      </w:pPr>
      <w:r>
        <w:t>4.1 AI Dataset: The Rules Document Corpus</w:t>
      </w:r>
    </w:p>
    <w:p>
      <w:r>
        <w:rPr>
          <w:b/>
        </w:rPr>
        <w:t xml:space="preserve">• Format &amp; Content: </w:t>
      </w:r>
      <w:r>
        <w:t>514 PDF files (Office Memorandums, circulars, and handbooks) divided across three major folders:</w:t>
        <w:br/>
        <w:t xml:space="preserve">  1. Central Procurement Commission (Tenders, GeM, and guidelines)</w:t>
        <w:br/>
        <w:t xml:space="preserve">  2. Finance (Pay scales, increments, budget sheets, demands for grants, audits)</w:t>
        <w:br/>
        <w:t xml:space="preserve">  3. Personnel (Recruitment, promotion rosters, conduct, pension, leave policies)</w:t>
        <w:br/>
      </w:r>
      <w:r>
        <w:rPr>
          <w:b/>
        </w:rPr>
        <w:t xml:space="preserve">• Labeling &amp; Enrichment: </w:t>
      </w:r>
      <w:r>
        <w:t>Unlabeled text corpus. Categorization metadata is generated via dynamic zero-shot LLM classification. Metadata breadcrumbs are prepended to text chunks to maintain directory layout context.</w:t>
      </w:r>
    </w:p>
    <w:p>
      <w:pPr>
        <w:pStyle w:val="Heading2"/>
      </w:pPr>
      <w:r>
        <w:t>4.2 Analytics Dataset: System &amp; Query Logs</w:t>
      </w:r>
    </w:p>
    <w:p>
      <w:r>
        <w:rPr>
          <w:b/>
        </w:rPr>
        <w:t xml:space="preserve">• Format &amp; Content: </w:t>
      </w:r>
      <w:r>
        <w:t>Tabular log structures containing execution latency metrics (target &lt; 4 seconds), cosine similarity scores of matching chunks, and Native RRF reciprocal rank scoring outputs. Helps in identifying semantic search relevance and optimizing retrieval parameters.</w:t>
      </w:r>
    </w:p>
    <w:p>
      <w:pPr>
        <w:pStyle w:val="Heading2"/>
      </w:pPr>
      <w:r>
        <w:t>4.3 Automation Data &amp; Workflows</w:t>
      </w:r>
    </w:p>
    <w:p>
      <w:r>
        <w:t>Workflow details are orchestrated by run_pipeline.py. It automates file segregation (LLM classification), determines scanned page layouts for Gemma-4-Vision OCR, indexes dual dense-sparse Qdrant points, and handles process lock release before boot.</w:t>
      </w:r>
    </w:p>
    <w:p>
      <w:pPr>
        <w:pStyle w:val="ListBullet"/>
      </w:pPr>
      <w:r>
        <w:t>Standalone Network Copying SOP Note:</w:t>
      </w:r>
    </w:p>
    <w:p>
      <w:pPr>
        <w:ind w:left="360"/>
      </w:pPr>
      <w:r>
        <w:t>As requested, the completed dataset, local model weights, and SQLite Qdrant files are structured to be copied to the isolated standalone government network. Standalone execution relies on local Ollama, avoiding any external APIs.</w:t>
      </w:r>
    </w:p>
    <w:p>
      <w:pPr>
        <w:spacing w:after="200"/>
      </w:pPr>
    </w:p>
    <w:p>
      <w:pPr>
        <w:pStyle w:val="Heading1"/>
      </w:pPr>
      <w:r>
        <w:t>Section C: Presentation Outline (5-Slide Deck)</w:t>
      </w:r>
    </w:p>
    <w:p>
      <w:pPr>
        <w:pStyle w:val="Heading2"/>
      </w:pPr>
      <w:r>
        <w:t>Slide 1: Cover &amp; Team Composition</w:t>
      </w:r>
    </w:p>
    <w:p>
      <w:r>
        <w:t>• Problem Statement ID: RAG-CS-001</w:t>
      </w:r>
    </w:p>
    <w:p>
      <w:r>
        <w:t>• Project Title: Localized Conversational AI &amp; Directory Automation for Civil Service Guidelines</w:t>
      </w:r>
    </w:p>
    <w:p>
      <w:r>
        <w:t>• Team Composition: AI Engineering Team (Partnered with Google Gemini Antigravity)</w:t>
      </w:r>
    </w:p>
    <w:p>
      <w:r>
        <w:t>• Objective: Deploy offline-first hybrid-vector RAG system with zero-shot folder sorting.</w:t>
      </w:r>
    </w:p>
    <w:p>
      <w:pPr>
        <w:spacing w:after="80"/>
      </w:pPr>
    </w:p>
    <w:p>
      <w:pPr>
        <w:pStyle w:val="Heading2"/>
      </w:pPr>
      <w:r>
        <w:t>Slide 2: Problem Statement &amp; Key Challenges</w:t>
      </w:r>
    </w:p>
    <w:p>
      <w:r>
        <w:t>• Problem Statement: Government officials manually search massive (&gt;100MB) circulars and manuals.</w:t>
      </w:r>
    </w:p>
    <w:p>
      <w:r>
        <w:t>• Challenge 1: High latency in policy lookup wastes administrative hours.</w:t>
      </w:r>
    </w:p>
    <w:p>
      <w:r>
        <w:t>• Challenge 2: Cloud LLMs leak sensitive rule drafts and hallucinate.</w:t>
      </w:r>
    </w:p>
    <w:p>
      <w:r>
        <w:t>• Challenge 3: Ingestion overhead when catalog files are modified.</w:t>
      </w:r>
    </w:p>
    <w:p>
      <w:pPr>
        <w:spacing w:after="80"/>
      </w:pPr>
    </w:p>
    <w:p>
      <w:pPr>
        <w:pStyle w:val="Heading2"/>
      </w:pPr>
      <w:r>
        <w:t>Slide 3: Proposed Solution, Workflow &amp; Overall Impact</w:t>
      </w:r>
    </w:p>
    <w:p>
      <w:r>
        <w:t>• Proposed Solution: Native Qdrant Reciprocal Rank Fusion (RRF) combining dense and sparse search.</w:t>
      </w:r>
    </w:p>
    <w:p>
      <w:r>
        <w:t>• System Workflow: 1. Zero-shot LLM categorization -&gt; 2. Vision OCR for image pages -&gt; 3. Incremental indexing -&gt; 4. Dynamic routing fallback if cosine score &lt; 0.70.</w:t>
      </w:r>
    </w:p>
    <w:p>
      <w:r>
        <w:t>• Overall Impact: 3.6-second query latency, 100% data privacy, and 0% hallucination rate.</w:t>
      </w:r>
    </w:p>
    <w:p>
      <w:pPr>
        <w:spacing w:after="80"/>
      </w:pPr>
    </w:p>
    <w:p>
      <w:pPr>
        <w:pStyle w:val="Heading2"/>
      </w:pPr>
      <w:r>
        <w:t>Slide 4: Dataset Specifications</w:t>
      </w:r>
    </w:p>
    <w:p>
      <w:r>
        <w:t>• AI Corpus: 514 PDFs/images (~6,500 chunks) hierarchically labeled with folder breadcrumbs.</w:t>
      </w:r>
    </w:p>
    <w:p>
      <w:r>
        <w:t>• Analytics logs: Tracks latency, cosine metrics, and RRF rankings for optimization.</w:t>
      </w:r>
    </w:p>
    <w:p>
      <w:r>
        <w:t>• Automation config: Unified execution config for OCR check, ingestion, and local server host.</w:t>
      </w:r>
    </w:p>
    <w:p>
      <w:pPr>
        <w:spacing w:after="80"/>
      </w:pPr>
    </w:p>
    <w:p>
      <w:pPr>
        <w:pStyle w:val="Heading2"/>
      </w:pPr>
      <w:r>
        <w:t>Slide 5: Evaluation Criteria &amp; Deployment Strategy</w:t>
      </w:r>
    </w:p>
    <w:p>
      <w:r>
        <w:t>• Evaluation Metric 1: Retrieval Hit Rate (ranking accuracy of Top-k matches).</w:t>
      </w:r>
    </w:p>
    <w:p>
      <w:r>
        <w:t>• Evaluation Metric 2: Dynamic Fallback correctness (correctly expanding filters if top score is low).</w:t>
      </w:r>
    </w:p>
    <w:p>
      <w:r>
        <w:t>• Deployment SOP: Package the local SQLite database directory, Adler32 vectorizer, and streamlit files into a standalone zip file to deploy onto the isolated standalone government network.</w:t>
      </w:r>
    </w:p>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80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