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f3864"/>
          <w:sz w:val="52"/>
          <w:szCs w:val="52"/>
          <w:rtl w:val="0"/>
        </w:rPr>
        <w:t xml:space="preserve">SUPERSTORE GLOBAL SALES ANALYSIS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0"/>
          <w:bCs w:val="0"/>
          <w:color w:val="2e5fa3"/>
          <w:sz w:val="36"/>
          <w:szCs w:val="36"/>
          <w:rtl w:val="0"/>
        </w:rPr>
        <w:t xml:space="preserve">2011 – 2014</w:t>
      </w:r>
      <w:r w:rsidDel="00000000" w:rsidR="00000000" w:rsidRPr="00000000">
        <w:rPr>
          <w:rtl w:val="0"/>
        </w:rPr>
      </w:r>
    </w:p>
    <w:p w:rsidR="00000000" w:rsidDel="00000000" w:rsidP="00000000" w:rsidRDefault="00000000" w:rsidRPr="00000000" w14:paraId="00000004">
      <w:pPr>
        <w:pBdr>
          <w:bottom w:color="2e5fa3" w:space="1" w:sz="12" w:val="single"/>
        </w:pBdr>
        <w:spacing w:after="200" w:before="80" w:lineRule="auto"/>
        <w:jc w:val="center"/>
        <w:rPr/>
      </w:pPr>
      <w:r w:rsidDel="00000000" w:rsidR="00000000" w:rsidRPr="00000000">
        <w:rPr>
          <w:rtl w:val="0"/>
        </w:rPr>
      </w:r>
    </w:p>
    <w:p w:rsidR="00000000" w:rsidDel="00000000" w:rsidP="00000000" w:rsidRDefault="00000000" w:rsidRPr="00000000" w14:paraId="00000005">
      <w:pPr>
        <w:spacing w:after="80" w:before="200" w:lineRule="auto"/>
        <w:jc w:val="center"/>
        <w:rPr/>
      </w:pPr>
      <w:r w:rsidDel="00000000" w:rsidR="00000000" w:rsidRPr="00000000">
        <w:rPr>
          <w:rFonts w:ascii="Arial" w:cs="Arial" w:eastAsia="Arial" w:hAnsi="Arial"/>
          <w:i w:val="1"/>
          <w:iCs w:val="1"/>
          <w:color w:val="6c757d"/>
          <w:sz w:val="26"/>
          <w:szCs w:val="26"/>
          <w:rtl w:val="0"/>
        </w:rPr>
        <w:t xml:space="preserve">A Data &amp; Business Analytics Case Study</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Arial" w:cs="Arial" w:eastAsia="Arial" w:hAnsi="Arial"/>
          <w:color w:val="4a4a4a"/>
          <w:sz w:val="24"/>
          <w:szCs w:val="24"/>
          <w:rtl w:val="0"/>
        </w:rPr>
        <w:t xml:space="preserve">Identifying Profit Drivers, Discount Inefficiencies,</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rFonts w:ascii="Arial" w:cs="Arial" w:eastAsia="Arial" w:hAnsi="Arial"/>
          <w:color w:val="4a4a4a"/>
          <w:sz w:val="24"/>
          <w:szCs w:val="24"/>
          <w:rtl w:val="0"/>
        </w:rPr>
        <w:t xml:space="preserve">and Regional Performance Gaps</w:t>
      </w:r>
      <w:r w:rsidDel="00000000" w:rsidR="00000000" w:rsidRPr="00000000">
        <w:rPr>
          <w:rtl w:val="0"/>
        </w:rPr>
      </w:r>
    </w:p>
    <w:p w:rsidR="00000000" w:rsidDel="00000000" w:rsidP="00000000" w:rsidRDefault="00000000" w:rsidRPr="00000000" w14:paraId="00000008">
      <w:pPr>
        <w:spacing w:after="60" w:before="600" w:lineRule="auto"/>
        <w:jc w:val="center"/>
        <w:rPr/>
      </w:pPr>
      <w:r w:rsidDel="00000000" w:rsidR="00000000" w:rsidRPr="00000000">
        <w:rPr>
          <w:rFonts w:ascii="Arial" w:cs="Arial" w:eastAsia="Arial" w:hAnsi="Arial"/>
          <w:b w:val="1"/>
          <w:bCs w:val="1"/>
          <w:color w:val="1f3864"/>
          <w:sz w:val="22"/>
          <w:szCs w:val="22"/>
          <w:rtl w:val="0"/>
        </w:rPr>
        <w:t xml:space="preserve">Tools Used:</w:t>
      </w: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color w:val="6c757d"/>
          <w:sz w:val="22"/>
          <w:szCs w:val="22"/>
          <w:rtl w:val="0"/>
        </w:rPr>
        <w:t xml:space="preserve">Microsoft Excel  ·  Power BI  ·  Pivot Tables  ·  Feature Engineering</w:t>
      </w:r>
      <w:r w:rsidDel="00000000" w:rsidR="00000000" w:rsidRPr="00000000">
        <w:rPr>
          <w:rtl w:val="0"/>
        </w:rPr>
      </w:r>
    </w:p>
    <w:p w:rsidR="00000000" w:rsidDel="00000000" w:rsidP="00000000" w:rsidRDefault="00000000" w:rsidRPr="00000000" w14:paraId="0000000A">
      <w:pPr>
        <w:spacing w:after="60" w:before="200" w:lineRule="auto"/>
        <w:jc w:val="center"/>
        <w:rPr/>
      </w:pPr>
      <w:r w:rsidDel="00000000" w:rsidR="00000000" w:rsidRPr="00000000">
        <w:rPr>
          <w:rFonts w:ascii="Arial" w:cs="Arial" w:eastAsia="Arial" w:hAnsi="Arial"/>
          <w:b w:val="1"/>
          <w:bCs w:val="1"/>
          <w:color w:val="1f3864"/>
          <w:sz w:val="22"/>
          <w:szCs w:val="22"/>
          <w:rtl w:val="0"/>
        </w:rPr>
        <w:t xml:space="preserve">Dataset:</w:t>
      </w: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rFonts w:ascii="Arial" w:cs="Arial" w:eastAsia="Arial" w:hAnsi="Arial"/>
          <w:color w:val="6c757d"/>
          <w:sz w:val="22"/>
          <w:szCs w:val="22"/>
          <w:rtl w:val="0"/>
        </w:rPr>
        <w:t xml:space="preserve">51,290 transactions  ·  25,035 orders  ·  147 countries  ·  3,788 products</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pBdr>
          <w:bottom w:color="2e5fa3" w:space="2" w:sz="8" w:val="single"/>
        </w:pBdr>
        <w:spacing w:after="100" w:before="280" w:lineRule="auto"/>
        <w:rPr/>
      </w:pPr>
      <w:r w:rsidDel="00000000" w:rsidR="00000000" w:rsidRPr="00000000">
        <w:rPr>
          <w:rFonts w:ascii="Arial" w:cs="Arial" w:eastAsia="Arial" w:hAnsi="Arial"/>
          <w:b w:val="1"/>
          <w:bCs w:val="1"/>
          <w:color w:val="1f3864"/>
          <w:sz w:val="28"/>
          <w:szCs w:val="28"/>
          <w:rtl w:val="0"/>
        </w:rPr>
        <w:t xml:space="preserve">1.  EXECUTIVE SUMMARY</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60" w:before="60" w:lineRule="auto"/>
        <w:jc w:val="both"/>
        <w:rPr/>
      </w:pPr>
      <w:r w:rsidDel="00000000" w:rsidR="00000000" w:rsidRPr="00000000">
        <w:rPr>
          <w:rFonts w:ascii="Arial" w:cs="Arial" w:eastAsia="Arial" w:hAnsi="Arial"/>
          <w:color w:val="4a4a4a"/>
          <w:sz w:val="22"/>
          <w:szCs w:val="22"/>
          <w:rtl w:val="0"/>
        </w:rPr>
        <w:t xml:space="preserve">This report presents a comprehensive analysis of the Superstore's global sales operations across 147 countries from 2011 to 2014. Using a dataset of 51,290 transactions and 25,035 unique orders, this project applies data analytics and business analytics techniques to diagnose a critical business challenge: despite strong and consistent revenue growth, the company's profit margin has stagnated at approximately 11.6%, and nearly one in four transactions is unprofitable.</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60" w:before="60" w:lineRule="auto"/>
        <w:jc w:val="both"/>
        <w:rPr/>
      </w:pPr>
      <w:r w:rsidDel="00000000" w:rsidR="00000000" w:rsidRPr="00000000">
        <w:rPr>
          <w:rFonts w:ascii="Arial" w:cs="Arial" w:eastAsia="Arial" w:hAnsi="Arial"/>
          <w:color w:val="4a4a4a"/>
          <w:sz w:val="22"/>
          <w:szCs w:val="22"/>
          <w:rtl w:val="0"/>
        </w:rPr>
        <w:t xml:space="preserve">The analysis uncovers three root causes of this margin pressure: an aggressive and poorly controlled discount strategy that has destroyed over $814,000 in profit; a structurally loss-making sub-category (Tables) that becomes profitable only when discounts are removed; and significant regional disparities, with Southeast Asia earning just 2.02% profit margin on $884,000 in sales — compared to 19.52% in North Asia on similar volume.</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spacing w:after="60" w:before="60" w:lineRule="auto"/>
        <w:jc w:val="both"/>
        <w:rPr/>
      </w:pPr>
      <w:r w:rsidDel="00000000" w:rsidR="00000000" w:rsidRPr="00000000">
        <w:rPr>
          <w:rFonts w:ascii="Arial" w:cs="Arial" w:eastAsia="Arial" w:hAnsi="Arial"/>
          <w:color w:val="4a4a4a"/>
          <w:sz w:val="22"/>
          <w:szCs w:val="22"/>
          <w:rtl w:val="0"/>
        </w:rPr>
        <w:t xml:space="preserve">This report is structured to guide both a data analyst audience (methodology, findings, and evidence) and a business analyst audience (root cause interpretation, business implications, and actionable recommendations).</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60" w:before="180" w:lineRule="auto"/>
        <w:rPr/>
      </w:pPr>
      <w:r w:rsidDel="00000000" w:rsidR="00000000" w:rsidRPr="00000000">
        <w:rPr>
          <w:rFonts w:ascii="Arial" w:cs="Arial" w:eastAsia="Arial" w:hAnsi="Arial"/>
          <w:b w:val="1"/>
          <w:bCs w:val="1"/>
          <w:color w:val="2e5fa3"/>
          <w:sz w:val="24"/>
          <w:szCs w:val="24"/>
          <w:rtl w:val="0"/>
        </w:rPr>
        <w:t xml:space="preserve">Key Metrics at a Glance</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ec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3864"/>
                <w:sz w:val="20"/>
                <w:szCs w:val="20"/>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e5fa3"/>
                <w:sz w:val="21"/>
                <w:szCs w:val="21"/>
                <w:rtl w:val="0"/>
              </w:rPr>
              <w:t xml:space="preserve">$12,642,905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cf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3864"/>
                <w:sz w:val="20"/>
                <w:szCs w:val="20"/>
                <w:rtl w:val="0"/>
              </w:rPr>
              <w:t xml:space="preserve">Profit 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2e5fa3"/>
                <w:sz w:val="21"/>
                <w:szCs w:val="21"/>
                <w:rtl w:val="0"/>
              </w:rPr>
              <w:t xml:space="preserve">$1,469,035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cf0"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f3864"/>
                <w:sz w:val="20"/>
                <w:szCs w:val="20"/>
                <w:rtl w:val="0"/>
              </w:rPr>
              <w:t xml:space="preserve">Unique Orders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2e5fa3"/>
                <w:sz w:val="21"/>
                <w:szCs w:val="21"/>
                <w:rtl w:val="0"/>
              </w:rPr>
              <w:t xml:space="preserve">25,035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cf0"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f3864"/>
                <w:sz w:val="20"/>
                <w:szCs w:val="20"/>
                <w:rtl w:val="0"/>
              </w:rPr>
              <w:t xml:space="preserve">Overall 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2e5fa3"/>
                <w:sz w:val="21"/>
                <w:szCs w:val="21"/>
                <w:rtl w:val="0"/>
              </w:rPr>
              <w:t xml:space="preserve">11.62%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cf0"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f3864"/>
                <w:sz w:val="20"/>
                <w:szCs w:val="20"/>
                <w:rtl w:val="0"/>
              </w:rPr>
              <w:t xml:space="preserve">Countries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2e5fa3"/>
                <w:sz w:val="21"/>
                <w:szCs w:val="21"/>
                <w:rtl w:val="0"/>
              </w:rPr>
              <w:t xml:space="preserve">147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cf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f3864"/>
                <w:sz w:val="20"/>
                <w:szCs w:val="20"/>
                <w:rtl w:val="0"/>
              </w:rPr>
              <w:t xml:space="preserve">Loss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e5fa3"/>
                <w:sz w:val="21"/>
                <w:szCs w:val="21"/>
                <w:rtl w:val="0"/>
              </w:rPr>
              <w:t xml:space="preserve">24.5% of all orders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cf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f3864"/>
                <w:sz w:val="20"/>
                <w:szCs w:val="20"/>
                <w:rtl w:val="0"/>
              </w:rPr>
              <w:t xml:space="preserve">Years Covered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e5fa3"/>
                <w:sz w:val="21"/>
                <w:szCs w:val="21"/>
                <w:rtl w:val="0"/>
              </w:rPr>
              <w:t xml:space="preserve">2011–2014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cf0"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f3864"/>
                <w:sz w:val="20"/>
                <w:szCs w:val="20"/>
                <w:rtl w:val="0"/>
              </w:rPr>
              <w:t xml:space="preserve">Products Analysed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e5fa3"/>
                <w:sz w:val="21"/>
                <w:szCs w:val="21"/>
                <w:rtl w:val="0"/>
              </w:rPr>
              <w:t xml:space="preserve">3,788</w:t>
            </w:r>
            <w:r w:rsidDel="00000000" w:rsidR="00000000" w:rsidRPr="00000000">
              <w:rPr>
                <w:rtl w:val="0"/>
              </w:rPr>
            </w:r>
          </w:p>
        </w:tc>
      </w:tr>
    </w:tbl>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pBdr>
          <w:bottom w:color="2e5fa3" w:space="2" w:sz="8" w:val="single"/>
        </w:pBdr>
        <w:spacing w:after="100" w:before="280" w:lineRule="auto"/>
        <w:rPr/>
      </w:pPr>
      <w:r w:rsidDel="00000000" w:rsidR="00000000" w:rsidRPr="00000000">
        <w:rPr>
          <w:rFonts w:ascii="Arial" w:cs="Arial" w:eastAsia="Arial" w:hAnsi="Arial"/>
          <w:b w:val="1"/>
          <w:bCs w:val="1"/>
          <w:color w:val="1f3864"/>
          <w:sz w:val="28"/>
          <w:szCs w:val="28"/>
          <w:rtl w:val="0"/>
        </w:rPr>
        <w:t xml:space="preserve">2.  BUSINESS PROBLEM &amp; RESEARCH QUESTIONS</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60" w:before="60" w:lineRule="auto"/>
        <w:jc w:val="both"/>
        <w:rPr/>
      </w:pPr>
      <w:r w:rsidDel="00000000" w:rsidR="00000000" w:rsidRPr="00000000">
        <w:rPr>
          <w:rFonts w:ascii="Arial" w:cs="Arial" w:eastAsia="Arial" w:hAnsi="Arial"/>
          <w:color w:val="4a4a4a"/>
          <w:sz w:val="22"/>
          <w:szCs w:val="22"/>
          <w:rtl w:val="0"/>
        </w:rPr>
        <w:t xml:space="preserve">The Superstore operates as a global multi-category retailer across seven major markets: the United States, Europe (EU), Asia-Pacific (APAC), Latin America (LATAM), Europe/Middle East/Africa (EMEA), Canada, and Africa. With $12.6 million in total revenue over four years and consistent year-on-year growth, the business appears healthy at the surface level.</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60" w:before="60" w:lineRule="auto"/>
        <w:jc w:val="both"/>
        <w:rPr/>
      </w:pPr>
      <w:r w:rsidDel="00000000" w:rsidR="00000000" w:rsidRPr="00000000">
        <w:rPr>
          <w:rFonts w:ascii="Arial" w:cs="Arial" w:eastAsia="Arial" w:hAnsi="Arial"/>
          <w:color w:val="4a4a4a"/>
          <w:sz w:val="22"/>
          <w:szCs w:val="22"/>
          <w:rtl w:val="0"/>
        </w:rPr>
        <w:t xml:space="preserve">However, a deeper examination reveals a structural profitability problem. The overall profit margin of 11.62% is suppressed by a subset of transactions that generate significant losses. Of 51,290 order-level transactions, 12,543 — or 24.5% — resulted in a net loss, totalling $920,357 in destroyed value. This means the profitable 75.5% of transactions must compensate for the losses generated by the remaining quarter.</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60" w:before="180" w:lineRule="auto"/>
        <w:rPr/>
      </w:pPr>
      <w:r w:rsidDel="00000000" w:rsidR="00000000" w:rsidRPr="00000000">
        <w:rPr>
          <w:rFonts w:ascii="Arial" w:cs="Arial" w:eastAsia="Arial" w:hAnsi="Arial"/>
          <w:b w:val="1"/>
          <w:bCs w:val="1"/>
          <w:color w:val="2e5fa3"/>
          <w:sz w:val="24"/>
          <w:szCs w:val="24"/>
          <w:rtl w:val="0"/>
        </w:rPr>
        <w:t xml:space="preserve">Research Questions</w:t>
      </w:r>
      <w:r w:rsidDel="00000000" w:rsidR="00000000" w:rsidRPr="00000000">
        <w:rPr>
          <w:rtl w:val="0"/>
        </w:rPr>
      </w:r>
    </w:p>
    <w:p w:rsidR="00000000" w:rsidDel="00000000" w:rsidP="00000000" w:rsidRDefault="00000000" w:rsidRPr="00000000" w14:paraId="00000031">
      <w:pPr>
        <w:spacing w:after="60" w:before="60" w:lineRule="auto"/>
        <w:jc w:val="both"/>
        <w:rPr/>
      </w:pPr>
      <w:r w:rsidDel="00000000" w:rsidR="00000000" w:rsidRPr="00000000">
        <w:rPr>
          <w:rFonts w:ascii="Arial" w:cs="Arial" w:eastAsia="Arial" w:hAnsi="Arial"/>
          <w:color w:val="4a4a4a"/>
          <w:sz w:val="22"/>
          <w:szCs w:val="22"/>
          <w:rtl w:val="0"/>
        </w:rPr>
        <w:t xml:space="preserve">This analysis was structured around four core business questions:</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Which product categories and sub-categories are the most and least profitable, and what drives the difference?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How does the company's discounting strategy affect profitability, and is there a discount threshold beyond which orders consistently lose money?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Which regions are underperforming relative to their sales volume, and what are the likely causes?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Is the business growing sustainably, or is revenue growth masking a deteriorating profit structure?</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Bdr>
          <w:bottom w:color="2e5fa3" w:space="2" w:sz="8" w:val="single"/>
        </w:pBdr>
        <w:spacing w:after="100" w:before="280" w:lineRule="auto"/>
        <w:rPr/>
      </w:pPr>
      <w:r w:rsidDel="00000000" w:rsidR="00000000" w:rsidRPr="00000000">
        <w:rPr>
          <w:rFonts w:ascii="Arial" w:cs="Arial" w:eastAsia="Arial" w:hAnsi="Arial"/>
          <w:b w:val="1"/>
          <w:bCs w:val="1"/>
          <w:color w:val="1f3864"/>
          <w:sz w:val="28"/>
          <w:szCs w:val="28"/>
          <w:rtl w:val="0"/>
        </w:rPr>
        <w:t xml:space="preserve">3.  METHODOLOGY &amp; DATA PREPARATION</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spacing w:after="60" w:before="180" w:lineRule="auto"/>
        <w:rPr/>
      </w:pPr>
      <w:r w:rsidDel="00000000" w:rsidR="00000000" w:rsidRPr="00000000">
        <w:rPr>
          <w:rFonts w:ascii="Arial" w:cs="Arial" w:eastAsia="Arial" w:hAnsi="Arial"/>
          <w:b w:val="1"/>
          <w:bCs w:val="1"/>
          <w:color w:val="2e5fa3"/>
          <w:sz w:val="24"/>
          <w:szCs w:val="24"/>
          <w:rtl w:val="0"/>
        </w:rPr>
        <w:t xml:space="preserve">Dataset Overview</w:t>
      </w:r>
      <w:r w:rsidDel="00000000" w:rsidR="00000000" w:rsidRPr="00000000">
        <w:rPr>
          <w:rtl w:val="0"/>
        </w:rPr>
      </w:r>
    </w:p>
    <w:p w:rsidR="00000000" w:rsidDel="00000000" w:rsidP="00000000" w:rsidRDefault="00000000" w:rsidRPr="00000000" w14:paraId="0000003C">
      <w:pPr>
        <w:spacing w:after="60" w:before="60" w:lineRule="auto"/>
        <w:jc w:val="both"/>
        <w:rPr/>
      </w:pPr>
      <w:r w:rsidDel="00000000" w:rsidR="00000000" w:rsidRPr="00000000">
        <w:rPr>
          <w:rFonts w:ascii="Arial" w:cs="Arial" w:eastAsia="Arial" w:hAnsi="Arial"/>
          <w:color w:val="4a4a4a"/>
          <w:sz w:val="22"/>
          <w:szCs w:val="22"/>
          <w:rtl w:val="0"/>
        </w:rPr>
        <w:t xml:space="preserve">The dataset used in this project is the Superstore global sales dataset, containing transactional records from January 2011 through December 2014. The raw dataset comprised 51,290 rows and 20 base columns, including order identifiers, dates, customer segments, geography, product hierarchy, sales, quantity, discount, profit, and shipping information.</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spacing w:after="60" w:before="180" w:lineRule="auto"/>
        <w:rPr/>
      </w:pPr>
      <w:r w:rsidDel="00000000" w:rsidR="00000000" w:rsidRPr="00000000">
        <w:rPr>
          <w:rFonts w:ascii="Arial" w:cs="Arial" w:eastAsia="Arial" w:hAnsi="Arial"/>
          <w:b w:val="1"/>
          <w:bCs w:val="1"/>
          <w:color w:val="2e5fa3"/>
          <w:sz w:val="24"/>
          <w:szCs w:val="24"/>
          <w:rtl w:val="0"/>
        </w:rPr>
        <w:t xml:space="preserve">Data Cleaning Steps</w:t>
      </w:r>
      <w:r w:rsidDel="00000000" w:rsidR="00000000" w:rsidRPr="00000000">
        <w:rPr>
          <w:rtl w:val="0"/>
        </w:rPr>
      </w:r>
    </w:p>
    <w:p w:rsidR="00000000" w:rsidDel="00000000" w:rsidP="00000000" w:rsidRDefault="00000000" w:rsidRPr="00000000" w14:paraId="0000003F">
      <w:pPr>
        <w:spacing w:after="60" w:before="60" w:lineRule="auto"/>
        <w:jc w:val="both"/>
        <w:rPr/>
      </w:pPr>
      <w:r w:rsidDel="00000000" w:rsidR="00000000" w:rsidRPr="00000000">
        <w:rPr>
          <w:rFonts w:ascii="Arial" w:cs="Arial" w:eastAsia="Arial" w:hAnsi="Arial"/>
          <w:color w:val="4a4a4a"/>
          <w:sz w:val="22"/>
          <w:szCs w:val="22"/>
          <w:rtl w:val="0"/>
        </w:rPr>
        <w:t xml:space="preserve">The following cleaning actions were applied in Microsoft Excel before analysis:</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Verified that no null values existed in critical fields (sales, profit, order_id, date columns).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Confirmed date fields were stored as proper date types to enable Delivery_Days calculation.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Standardised category and sub-category text values for consistency in pivot table grouping.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Removed duplicate rows where order and product identifiers were fully repeated.</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spacing w:after="60" w:before="180" w:lineRule="auto"/>
        <w:rPr/>
      </w:pPr>
      <w:r w:rsidDel="00000000" w:rsidR="00000000" w:rsidRPr="00000000">
        <w:rPr>
          <w:rFonts w:ascii="Arial" w:cs="Arial" w:eastAsia="Arial" w:hAnsi="Arial"/>
          <w:b w:val="1"/>
          <w:bCs w:val="1"/>
          <w:color w:val="2e5fa3"/>
          <w:sz w:val="24"/>
          <w:szCs w:val="24"/>
          <w:rtl w:val="0"/>
        </w:rPr>
        <w:t xml:space="preserve">Feature Engineering — New Columns Created</w:t>
      </w:r>
      <w:r w:rsidDel="00000000" w:rsidR="00000000" w:rsidRPr="00000000">
        <w:rPr>
          <w:rtl w:val="0"/>
        </w:rPr>
      </w:r>
    </w:p>
    <w:p w:rsidR="00000000" w:rsidDel="00000000" w:rsidP="00000000" w:rsidRDefault="00000000" w:rsidRPr="00000000" w14:paraId="00000047">
      <w:pPr>
        <w:spacing w:after="60" w:before="60" w:lineRule="auto"/>
        <w:jc w:val="both"/>
        <w:rPr/>
      </w:pPr>
      <w:r w:rsidDel="00000000" w:rsidR="00000000" w:rsidRPr="00000000">
        <w:rPr>
          <w:rFonts w:ascii="Arial" w:cs="Arial" w:eastAsia="Arial" w:hAnsi="Arial"/>
          <w:color w:val="4a4a4a"/>
          <w:sz w:val="22"/>
          <w:szCs w:val="22"/>
          <w:rtl w:val="0"/>
        </w:rPr>
        <w:t xml:space="preserve">Five new columns were created to enable richer analysis. Each column was designed to answer a specific analytical question:</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Formula /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e5fa3"/>
                <w:sz w:val="20"/>
                <w:szCs w:val="20"/>
                <w:rtl w:val="0"/>
              </w:rPr>
              <w:t xml:space="preserve">Profit_Margin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4a4a4a"/>
                <w:sz w:val="20"/>
                <w:szCs w:val="20"/>
                <w:rtl w:val="0"/>
              </w:rPr>
              <w:t xml:space="preserve">= Profit ÷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4a4a4a"/>
                <w:sz w:val="20"/>
                <w:szCs w:val="20"/>
                <w:rtl w:val="0"/>
              </w:rPr>
              <w:t xml:space="preserve">Measures per-sale profitability efficiency, not just absolute profit 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e5fa3"/>
                <w:sz w:val="20"/>
                <w:szCs w:val="20"/>
                <w:rtl w:val="0"/>
              </w:rPr>
              <w:t xml:space="preserve">Delivery_Days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b w:val="0"/>
                <w:bCs w:val="0"/>
                <w:color w:val="4a4a4a"/>
                <w:sz w:val="20"/>
                <w:szCs w:val="20"/>
                <w:rtl w:val="0"/>
              </w:rPr>
              <w:t xml:space="preserve">= Ship Date − Order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4a4a4a"/>
                <w:sz w:val="20"/>
                <w:szCs w:val="20"/>
                <w:rtl w:val="0"/>
              </w:rPr>
              <w:t xml:space="preserve">Measures fulfilment speed to analyse shipping mode vs order value relationships.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e5fa3"/>
                <w:sz w:val="20"/>
                <w:szCs w:val="20"/>
                <w:rtl w:val="0"/>
              </w:rPr>
              <w:t xml:space="preserve">Discount_Band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4a4a4a"/>
                <w:sz w:val="20"/>
                <w:szCs w:val="20"/>
                <w:rtl w:val="0"/>
              </w:rPr>
              <w:t xml:space="preserve">No=0%, Low=0.1–20%, Medium=20.1–50%, High=55–85%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4a4a4a"/>
                <w:sz w:val="20"/>
                <w:szCs w:val="20"/>
                <w:rtl w:val="0"/>
              </w:rPr>
              <w:t xml:space="preserve">Groups continuous discount values into bands for pivot-table analysis.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2e5fa3"/>
                <w:sz w:val="20"/>
                <w:szCs w:val="20"/>
                <w:rtl w:val="0"/>
              </w:rPr>
              <w:t xml:space="preserve">Sales_Band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4a4a4a"/>
                <w:sz w:val="20"/>
                <w:szCs w:val="20"/>
                <w:rtl w:val="0"/>
              </w:rPr>
              <w:t xml:space="preserve">Low=$0–$99, Medium=$100–$499, High=$500+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4a4a4a"/>
                <w:sz w:val="20"/>
                <w:szCs w:val="20"/>
                <w:rtl w:val="0"/>
              </w:rPr>
              <w:t xml:space="preserve">Segments orders by transaction size to identify which deal sizes drive profit.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2e5fa3"/>
                <w:sz w:val="20"/>
                <w:szCs w:val="20"/>
                <w:rtl w:val="0"/>
              </w:rPr>
              <w:t xml:space="preserve">Loss/Profit_flag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4a4a4a"/>
                <w:sz w:val="20"/>
                <w:szCs w:val="20"/>
                <w:rtl w:val="0"/>
              </w:rPr>
              <w:t xml:space="preserve">IF(Profit &lt; 0, "Loss", "Profit")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4a4a4a"/>
                <w:sz w:val="20"/>
                <w:szCs w:val="20"/>
                <w:rtl w:val="0"/>
              </w:rPr>
              <w:t xml:space="preserve">Binary flag enabling quick count and filter of 12,543 unprofitable transactions.</w:t>
            </w:r>
            <w:r w:rsidDel="00000000" w:rsidR="00000000" w:rsidRPr="00000000">
              <w:rPr>
                <w:rtl w:val="0"/>
              </w:rPr>
            </w:r>
          </w:p>
        </w:tc>
      </w:tr>
    </w:tbl>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spacing w:after="60" w:before="60" w:lineRule="auto"/>
        <w:jc w:val="both"/>
        <w:rPr/>
      </w:pPr>
      <w:r w:rsidDel="00000000" w:rsidR="00000000" w:rsidRPr="00000000">
        <w:rPr>
          <w:rFonts w:ascii="Arial" w:cs="Arial" w:eastAsia="Arial" w:hAnsi="Arial"/>
          <w:color w:val="4a4a4a"/>
          <w:sz w:val="22"/>
          <w:szCs w:val="22"/>
          <w:rtl w:val="0"/>
        </w:rPr>
        <w:t xml:space="preserve">These engineered columns were central to the pivot table analysis and enabled segmentation that would not have been possible with the raw data alone.</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spacing w:after="60" w:before="180" w:lineRule="auto"/>
        <w:rPr/>
      </w:pPr>
      <w:r w:rsidDel="00000000" w:rsidR="00000000" w:rsidRPr="00000000">
        <w:rPr>
          <w:rFonts w:ascii="Arial" w:cs="Arial" w:eastAsia="Arial" w:hAnsi="Arial"/>
          <w:b w:val="1"/>
          <w:bCs w:val="1"/>
          <w:color w:val="2e5fa3"/>
          <w:sz w:val="24"/>
          <w:szCs w:val="24"/>
          <w:rtl w:val="0"/>
        </w:rPr>
        <w:t xml:space="preserve">Analytical Tools Used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Microsoft Excel — data cleaning, feature engineering, pivot tables, and summary statistics.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Power BI — interactive dashboard with slicers for category, region, year, segment, and discount band.</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pBdr>
          <w:bottom w:color="2e5fa3" w:space="2" w:sz="8" w:val="single"/>
        </w:pBdr>
        <w:spacing w:after="100" w:before="280" w:lineRule="auto"/>
        <w:rPr/>
      </w:pPr>
      <w:r w:rsidDel="00000000" w:rsidR="00000000" w:rsidRPr="00000000">
        <w:rPr>
          <w:rFonts w:ascii="Arial" w:cs="Arial" w:eastAsia="Arial" w:hAnsi="Arial"/>
          <w:b w:val="1"/>
          <w:bCs w:val="1"/>
          <w:color w:val="1f3864"/>
          <w:sz w:val="28"/>
          <w:szCs w:val="28"/>
          <w:rtl w:val="0"/>
        </w:rPr>
        <w:t xml:space="preserve">4.  KEY FINDINGS</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spacing w:after="60" w:before="60" w:lineRule="auto"/>
        <w:jc w:val="both"/>
        <w:rPr/>
      </w:pPr>
      <w:r w:rsidDel="00000000" w:rsidR="00000000" w:rsidRPr="00000000">
        <w:rPr>
          <w:rFonts w:ascii="Arial" w:cs="Arial" w:eastAsia="Arial" w:hAnsi="Arial"/>
          <w:color w:val="4a4a4a"/>
          <w:sz w:val="22"/>
          <w:szCs w:val="22"/>
          <w:rtl w:val="0"/>
        </w:rPr>
        <w:t xml:space="preserve">The following five findings are presented in order of business impact. Each finding includes supporting data extracted from the analysis.</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fa3" w:val="clear"/>
            <w:tcMar>
              <w:top w:w="120.0" w:type="dxa"/>
              <w:left w:w="140.0" w:type="dxa"/>
              <w:bottom w:w="120.0" w:type="dxa"/>
              <w:right w:w="14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6"/>
                <w:szCs w:val="26"/>
                <w:rtl w:val="0"/>
              </w:rPr>
              <w:t xml:space="preserve">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00.0" w:type="dxa"/>
              <w:left w:w="16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f3864"/>
                <w:sz w:val="22"/>
                <w:szCs w:val="22"/>
                <w:rtl w:val="0"/>
              </w:rPr>
              <w:t xml:space="preserve">Discounting is the single largest driver of profit loss.</w:t>
            </w:r>
            <w:r w:rsidDel="00000000" w:rsidR="00000000" w:rsidRPr="00000000">
              <w:rPr>
                <w:rtl w:val="0"/>
              </w:rPr>
            </w:r>
          </w:p>
          <w:p w:rsidR="00000000" w:rsidDel="00000000" w:rsidP="00000000" w:rsidRDefault="00000000" w:rsidRPr="00000000" w14:paraId="00000069">
            <w:pPr>
              <w:spacing w:after="0" w:before="40" w:lineRule="auto"/>
              <w:rPr/>
            </w:pPr>
            <w:r w:rsidDel="00000000" w:rsidR="00000000" w:rsidRPr="00000000">
              <w:rPr>
                <w:rFonts w:ascii="Arial" w:cs="Arial" w:eastAsia="Arial" w:hAnsi="Arial"/>
                <w:color w:val="4a4a4a"/>
                <w:sz w:val="21"/>
                <w:szCs w:val="21"/>
                <w:rtl w:val="0"/>
              </w:rPr>
              <w:t xml:space="preserve">Orders with no discount earned a 25.32% profit margin and generated $1,770,695 in profit. Medium-discount orders (20–50% off) lost $402,100 at a –25.80% margin. High-discount orders (55–85% off) lost a further $412,582 at an extraordinary –111.02% margin — meaning the company paid more in discounts than it earned in revenue on those transactions. In total, medium and high discounts alone destroyed over $814,000 in profit value.</w:t>
            </w:r>
            <w:r w:rsidDel="00000000" w:rsidR="00000000" w:rsidRPr="00000000">
              <w:rPr>
                <w:rtl w:val="0"/>
              </w:rPr>
            </w:r>
          </w:p>
        </w:tc>
      </w:tr>
    </w:tbl>
    <w:p w:rsidR="00000000" w:rsidDel="00000000" w:rsidP="00000000" w:rsidRDefault="00000000" w:rsidRPr="00000000" w14:paraId="0000006A">
      <w:pPr>
        <w:spacing w:after="60" w:before="6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160"/>
        <w:gridCol w:w="1800"/>
        <w:gridCol w:w="1200"/>
        <w:gridCol w:w="2100"/>
        <w:gridCol w:w="2100"/>
        <w:tblGridChange w:id="0">
          <w:tblGrid>
            <w:gridCol w:w="2160"/>
            <w:gridCol w:w="1800"/>
            <w:gridCol w:w="1200"/>
            <w:gridCol w:w="2100"/>
            <w:gridCol w:w="2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ffffff"/>
                <w:sz w:val="20"/>
                <w:szCs w:val="20"/>
                <w:rtl w:val="0"/>
              </w:rPr>
              <w:t xml:space="preserve">Discount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ffffff"/>
                <w:sz w:val="20"/>
                <w:szCs w:val="20"/>
                <w:rtl w:val="0"/>
              </w:rPr>
              <w:t xml:space="preserve">Discount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ffffff"/>
                <w:sz w:val="20"/>
                <w:szCs w:val="20"/>
                <w:rtl w:val="0"/>
              </w:rPr>
              <w:t xml:space="preserve">Orders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ffffff"/>
                <w:sz w:val="20"/>
                <w:szCs w:val="20"/>
                <w:rtl w:val="0"/>
              </w:rPr>
              <w:t xml:space="preserve">Total Profit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ffffff"/>
                <w:sz w:val="20"/>
                <w:szCs w:val="20"/>
                <w:rtl w:val="0"/>
              </w:rPr>
              <w:t xml:space="preserve">Profit Margin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4a4a4a"/>
                <w:sz w:val="20"/>
                <w:szCs w:val="20"/>
                <w:rtl w:val="0"/>
              </w:rPr>
              <w:t xml:space="preserve">No 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4a4a4a"/>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4a4a4a"/>
                <w:sz w:val="20"/>
                <w:szCs w:val="20"/>
                <w:rtl w:val="0"/>
              </w:rPr>
              <w:t xml:space="preserve">29,009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1a7a6e"/>
                <w:sz w:val="20"/>
                <w:szCs w:val="20"/>
                <w:rtl w:val="0"/>
              </w:rPr>
              <w:t xml:space="preserve">+$1,770,695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1a7a6e"/>
                <w:sz w:val="20"/>
                <w:szCs w:val="20"/>
                <w:rtl w:val="0"/>
              </w:rPr>
              <w:t xml:space="preserve">+25.32%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4a4a4a"/>
                <w:sz w:val="20"/>
                <w:szCs w:val="20"/>
                <w:rtl w:val="0"/>
              </w:rPr>
              <w:t xml:space="preserve">Low 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0"/>
                <w:bCs w:val="0"/>
                <w:color w:val="4a4a4a"/>
                <w:sz w:val="20"/>
                <w:szCs w:val="20"/>
                <w:rtl w:val="0"/>
              </w:rPr>
              <w:t xml:space="preserve">0.1% –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4a4a4a"/>
                <w:sz w:val="20"/>
                <w:szCs w:val="20"/>
                <w:rtl w:val="0"/>
              </w:rPr>
              <w:t xml:space="preserve">10,953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1a7a6e"/>
                <w:sz w:val="20"/>
                <w:szCs w:val="20"/>
                <w:rtl w:val="0"/>
              </w:rPr>
              <w:t xml:space="preserve">+$513,022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1a7a6e"/>
                <w:sz w:val="20"/>
                <w:szCs w:val="20"/>
                <w:rtl w:val="0"/>
              </w:rPr>
              <w:t xml:space="preserve">+13.79%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4a4a4a"/>
                <w:sz w:val="20"/>
                <w:szCs w:val="20"/>
                <w:rtl w:val="0"/>
              </w:rPr>
              <w:t xml:space="preserve">Medium 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0"/>
                <w:bCs w:val="0"/>
                <w:color w:val="4a4a4a"/>
                <w:sz w:val="20"/>
                <w:szCs w:val="20"/>
                <w:rtl w:val="0"/>
              </w:rPr>
              <w:t xml:space="preserve">20.1% –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0"/>
                <w:bCs w:val="0"/>
                <w:color w:val="4a4a4a"/>
                <w:sz w:val="20"/>
                <w:szCs w:val="20"/>
                <w:rtl w:val="0"/>
              </w:rPr>
              <w:t xml:space="preserve">7,156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c0392b"/>
                <w:sz w:val="20"/>
                <w:szCs w:val="20"/>
                <w:rtl w:val="0"/>
              </w:rPr>
              <w:t xml:space="preserve">–$402,100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c0392b"/>
                <w:sz w:val="20"/>
                <w:szCs w:val="20"/>
                <w:rtl w:val="0"/>
              </w:rPr>
              <w:t xml:space="preserve">–25.80%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4a4a4a"/>
                <w:sz w:val="20"/>
                <w:szCs w:val="20"/>
                <w:rtl w:val="0"/>
              </w:rPr>
              <w:t xml:space="preserve">High 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0"/>
                <w:bCs w:val="0"/>
                <w:color w:val="4a4a4a"/>
                <w:sz w:val="20"/>
                <w:szCs w:val="20"/>
                <w:rtl w:val="0"/>
              </w:rPr>
              <w:t xml:space="preserve">55% –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0"/>
                <w:bCs w:val="0"/>
                <w:color w:val="4a4a4a"/>
                <w:sz w:val="20"/>
                <w:szCs w:val="20"/>
                <w:rtl w:val="0"/>
              </w:rPr>
              <w:t xml:space="preserve">4,172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c0392b"/>
                <w:sz w:val="20"/>
                <w:szCs w:val="20"/>
                <w:rtl w:val="0"/>
              </w:rPr>
              <w:t xml:space="preserve">–$412,582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c0392b"/>
                <w:sz w:val="20"/>
                <w:szCs w:val="20"/>
                <w:rtl w:val="0"/>
              </w:rPr>
              <w:t xml:space="preserve">–111.02%</w:t>
            </w:r>
            <w:r w:rsidDel="00000000" w:rsidR="00000000" w:rsidRPr="00000000">
              <w:rPr>
                <w:rtl w:val="0"/>
              </w:rPr>
            </w:r>
          </w:p>
        </w:tc>
      </w:tr>
    </w:tbl>
    <w:p w:rsidR="00000000" w:rsidDel="00000000" w:rsidP="00000000" w:rsidRDefault="00000000" w:rsidRPr="00000000" w14:paraId="00000084">
      <w:pPr>
        <w:spacing w:after="60" w:before="6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fa3" w:val="clear"/>
            <w:tcMar>
              <w:top w:w="120.0" w:type="dxa"/>
              <w:left w:w="140.0" w:type="dxa"/>
              <w:bottom w:w="120.0" w:type="dxa"/>
              <w:right w:w="14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6"/>
                <w:szCs w:val="26"/>
                <w:rtl w:val="0"/>
              </w:rPr>
              <w:t xml:space="preserve">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00.0" w:type="dxa"/>
              <w:left w:w="16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f3864"/>
                <w:sz w:val="22"/>
                <w:szCs w:val="22"/>
                <w:rtl w:val="0"/>
              </w:rPr>
              <w:t xml:space="preserve">Tables sub-category is structurally loss-making — but only because of discounts.</w:t>
            </w:r>
            <w:r w:rsidDel="00000000" w:rsidR="00000000" w:rsidRPr="00000000">
              <w:rPr>
                <w:rtl w:val="0"/>
              </w:rPr>
            </w:r>
          </w:p>
          <w:p w:rsidR="00000000" w:rsidDel="00000000" w:rsidP="00000000" w:rsidRDefault="00000000" w:rsidRPr="00000000" w14:paraId="00000087">
            <w:pPr>
              <w:spacing w:after="0" w:before="40" w:lineRule="auto"/>
              <w:rPr/>
            </w:pPr>
            <w:r w:rsidDel="00000000" w:rsidR="00000000" w:rsidRPr="00000000">
              <w:rPr>
                <w:rFonts w:ascii="Arial" w:cs="Arial" w:eastAsia="Arial" w:hAnsi="Arial"/>
                <w:color w:val="4a4a4a"/>
                <w:sz w:val="21"/>
                <w:szCs w:val="21"/>
                <w:rtl w:val="0"/>
              </w:rPr>
              <w:t xml:space="preserve">Tables generated a net loss of $64,083 on $757,034 in sales, a margin of –8.47%. However, when discount bands are isolated: Tables with no discount generated +$60,447 in profit (a healthy +23.1% margin). Tables sold at medium discount lost $67,515, and at high discount lost $65,026. This is a critical insight — Tables are not an inherently bad product. The loss is entirely caused by excessive discounting. The product itself, sold at full price, is profitable.</w:t>
            </w:r>
            <w:r w:rsidDel="00000000" w:rsidR="00000000" w:rsidRPr="00000000">
              <w:rPr>
                <w:rtl w:val="0"/>
              </w:rPr>
            </w:r>
          </w:p>
        </w:tc>
      </w:tr>
    </w:tbl>
    <w:p w:rsidR="00000000" w:rsidDel="00000000" w:rsidP="00000000" w:rsidRDefault="00000000" w:rsidRPr="00000000" w14:paraId="00000088">
      <w:pPr>
        <w:spacing w:after="60" w:before="6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fa3" w:val="clear"/>
            <w:tcMar>
              <w:top w:w="120.0" w:type="dxa"/>
              <w:left w:w="140.0" w:type="dxa"/>
              <w:bottom w:w="120.0" w:type="dxa"/>
              <w:right w:w="14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6"/>
                <w:szCs w:val="26"/>
                <w:rtl w:val="0"/>
              </w:rPr>
              <w:t xml:space="preserve">F3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00.0" w:type="dxa"/>
              <w:left w:w="16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f3864"/>
                <w:sz w:val="22"/>
                <w:szCs w:val="22"/>
                <w:rtl w:val="0"/>
              </w:rPr>
              <w:t xml:space="preserve">Southeast Asia has the most severe regional margin compression.</w:t>
            </w:r>
            <w:r w:rsidDel="00000000" w:rsidR="00000000" w:rsidRPr="00000000">
              <w:rPr>
                <w:rtl w:val="0"/>
              </w:rPr>
            </w:r>
          </w:p>
          <w:p w:rsidR="00000000" w:rsidDel="00000000" w:rsidP="00000000" w:rsidRDefault="00000000" w:rsidRPr="00000000" w14:paraId="0000008B">
            <w:pPr>
              <w:spacing w:after="0" w:before="40" w:lineRule="auto"/>
              <w:rPr/>
            </w:pPr>
            <w:r w:rsidDel="00000000" w:rsidR="00000000" w:rsidRPr="00000000">
              <w:rPr>
                <w:rFonts w:ascii="Arial" w:cs="Arial" w:eastAsia="Arial" w:hAnsi="Arial"/>
                <w:color w:val="4a4a4a"/>
                <w:sz w:val="21"/>
                <w:szCs w:val="21"/>
                <w:rtl w:val="0"/>
              </w:rPr>
              <w:t xml:space="preserve">Southeast Asia generated $884,438 in sales but only $17,852 in profit — a margin of just 2.02%. This is the lowest of all 13 regions. In comparison, North Asia generated $848,349 in sales with $165,578 in profit — a 19.52% margin on nearly identical revenue. The gap of 17.5 percentage points on similar sales volumes strongly suggests a regional discount or cost structure problem rather than a market demand issue. Medium discounts in Southeast Asia alone destroyed $52,903.</w:t>
            </w:r>
            <w:r w:rsidDel="00000000" w:rsidR="00000000" w:rsidRPr="00000000">
              <w:rPr>
                <w:rtl w:val="0"/>
              </w:rPr>
            </w:r>
          </w:p>
        </w:tc>
      </w:tr>
    </w:tbl>
    <w:p w:rsidR="00000000" w:rsidDel="00000000" w:rsidP="00000000" w:rsidRDefault="00000000" w:rsidRPr="00000000" w14:paraId="0000008C">
      <w:pPr>
        <w:spacing w:after="60" w:before="6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760"/>
        <w:gridCol w:w="2200"/>
        <w:gridCol w:w="2200"/>
        <w:gridCol w:w="2200"/>
        <w:tblGridChange w:id="0">
          <w:tblGrid>
            <w:gridCol w:w="2760"/>
            <w:gridCol w:w="2200"/>
            <w:gridCol w:w="220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ffffff"/>
                <w:sz w:val="20"/>
                <w:szCs w:val="20"/>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20"/>
                <w:szCs w:val="20"/>
                <w:rtl w:val="0"/>
              </w:rPr>
              <w:t xml:space="preserve">Total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ffffff"/>
                <w:sz w:val="20"/>
                <w:szCs w:val="20"/>
                <w:rtl w:val="0"/>
              </w:rPr>
              <w:t xml:space="preserve">Total Profit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ffffff"/>
                <w:sz w:val="20"/>
                <w:szCs w:val="20"/>
                <w:rtl w:val="0"/>
              </w:rPr>
              <w:t xml:space="preserve">Margin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4a4a4a"/>
                <w:sz w:val="20"/>
                <w:szCs w:val="20"/>
                <w:rtl w:val="0"/>
              </w:rPr>
              <w:t xml:space="preserve">Canada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4a4a4a"/>
                <w:sz w:val="20"/>
                <w:szCs w:val="20"/>
                <w:rtl w:val="0"/>
              </w:rPr>
              <w:t xml:space="preserve">$66,932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4a4a4a"/>
                <w:sz w:val="20"/>
                <w:szCs w:val="20"/>
                <w:rtl w:val="0"/>
              </w:rPr>
              <w:t xml:space="preserve">$17,817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1a7a6e"/>
                <w:sz w:val="20"/>
                <w:szCs w:val="20"/>
                <w:rtl w:val="0"/>
              </w:rPr>
              <w:t xml:space="preserve">26.62%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4a4a4a"/>
                <w:sz w:val="20"/>
                <w:szCs w:val="20"/>
                <w:rtl w:val="0"/>
              </w:rPr>
              <w:t xml:space="preserve">North Asia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4a4a4a"/>
                <w:sz w:val="20"/>
                <w:szCs w:val="20"/>
                <w:rtl w:val="0"/>
              </w:rPr>
              <w:t xml:space="preserve">$848,349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4a4a4a"/>
                <w:sz w:val="20"/>
                <w:szCs w:val="20"/>
                <w:rtl w:val="0"/>
              </w:rPr>
              <w:t xml:space="preserve">$165,578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1a7a6e"/>
                <w:sz w:val="20"/>
                <w:szCs w:val="20"/>
                <w:rtl w:val="0"/>
              </w:rPr>
              <w:t xml:space="preserve">19.52%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4a4a4a"/>
                <w:sz w:val="20"/>
                <w:szCs w:val="20"/>
                <w:rtl w:val="0"/>
              </w:rPr>
              <w:t xml:space="preserve">Central Asia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4a4a4a"/>
                <w:sz w:val="20"/>
                <w:szCs w:val="20"/>
                <w:rtl w:val="0"/>
              </w:rPr>
              <w:t xml:space="preserve">$752,839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4a4a4a"/>
                <w:sz w:val="20"/>
                <w:szCs w:val="20"/>
                <w:rtl w:val="0"/>
              </w:rPr>
              <w:t xml:space="preserve">$132,480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1a7a6e"/>
                <w:sz w:val="20"/>
                <w:szCs w:val="20"/>
                <w:rtl w:val="0"/>
              </w:rPr>
              <w:t xml:space="preserve">17.60%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4a4a4a"/>
                <w:sz w:val="20"/>
                <w:szCs w:val="20"/>
                <w:rtl w:val="0"/>
              </w:rPr>
              <w:t xml:space="preserve">West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4a4a4a"/>
                <w:sz w:val="20"/>
                <w:szCs w:val="20"/>
                <w:rtl w:val="0"/>
              </w:rPr>
              <w:t xml:space="preserve">$725,514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color w:val="4a4a4a"/>
                <w:sz w:val="20"/>
                <w:szCs w:val="20"/>
                <w:rtl w:val="0"/>
              </w:rPr>
              <w:t xml:space="preserve">$108,418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4a4a4a"/>
                <w:sz w:val="20"/>
                <w:szCs w:val="20"/>
                <w:rtl w:val="0"/>
              </w:rPr>
              <w:t xml:space="preserve">14.94%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4a4a4a"/>
                <w:sz w:val="20"/>
                <w:szCs w:val="20"/>
                <w:rtl w:val="0"/>
              </w:rPr>
              <w:t xml:space="preserve">North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4a4a4a"/>
                <w:sz w:val="20"/>
                <w:szCs w:val="20"/>
                <w:rtl w:val="0"/>
              </w:rPr>
              <w:t xml:space="preserve">$1,248,192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4a4a4a"/>
                <w:sz w:val="20"/>
                <w:szCs w:val="20"/>
                <w:rtl w:val="0"/>
              </w:rPr>
              <w:t xml:space="preserve">$194,598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1a7a6e"/>
                <w:sz w:val="20"/>
                <w:szCs w:val="20"/>
                <w:rtl w:val="0"/>
              </w:rPr>
              <w:t xml:space="preserve">15.59%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4a4a4a"/>
                <w:sz w:val="20"/>
                <w:szCs w:val="20"/>
                <w:rtl w:val="0"/>
              </w:rPr>
              <w:t xml:space="preserve">Central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4a4a4a"/>
                <w:sz w:val="20"/>
                <w:szCs w:val="20"/>
                <w:rtl w:val="0"/>
              </w:rPr>
              <w:t xml:space="preserve">$2,822,399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4a4a4a"/>
                <w:sz w:val="20"/>
                <w:szCs w:val="20"/>
                <w:rtl w:val="0"/>
              </w:rPr>
              <w:t xml:space="preserve">$311,404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4a4a4a"/>
                <w:sz w:val="20"/>
                <w:szCs w:val="20"/>
                <w:rtl w:val="0"/>
              </w:rPr>
              <w:t xml:space="preserve">11.03%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4a4a4a"/>
                <w:sz w:val="20"/>
                <w:szCs w:val="20"/>
                <w:rtl w:val="0"/>
              </w:rPr>
              <w:t xml:space="preserve">Oceania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4a4a4a"/>
                <w:sz w:val="20"/>
                <w:szCs w:val="20"/>
                <w:rtl w:val="0"/>
              </w:rPr>
              <w:t xml:space="preserve">$1,100,207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4a4a4a"/>
                <w:sz w:val="20"/>
                <w:szCs w:val="20"/>
                <w:rtl w:val="0"/>
              </w:rPr>
              <w:t xml:space="preserve">$121,667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4a4a4a"/>
                <w:sz w:val="20"/>
                <w:szCs w:val="20"/>
                <w:rtl w:val="0"/>
              </w:rPr>
              <w:t xml:space="preserve">11.06%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4a4a4a"/>
                <w:sz w:val="20"/>
                <w:szCs w:val="20"/>
                <w:rtl w:val="0"/>
              </w:rPr>
              <w:t xml:space="preserve">South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4a4a4a"/>
                <w:sz w:val="20"/>
                <w:szCs w:val="20"/>
                <w:rtl w:val="0"/>
              </w:rPr>
              <w:t xml:space="preserve">$1,600,960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4a4a4a"/>
                <w:sz w:val="20"/>
                <w:szCs w:val="20"/>
                <w:rtl w:val="0"/>
              </w:rPr>
              <w:t xml:space="preserve">$140,356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4a4a4a"/>
                <w:sz w:val="20"/>
                <w:szCs w:val="20"/>
                <w:rtl w:val="0"/>
              </w:rPr>
              <w:t xml:space="preserve">8.77%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4a4a4a"/>
                <w:sz w:val="20"/>
                <w:szCs w:val="20"/>
                <w:rtl w:val="0"/>
              </w:rPr>
              <w:t xml:space="preserve">EMEA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4a4a4a"/>
                <w:sz w:val="20"/>
                <w:szCs w:val="20"/>
                <w:rtl w:val="0"/>
              </w:rPr>
              <w:t xml:space="preserve">$806,184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4a4a4a"/>
                <w:sz w:val="20"/>
                <w:szCs w:val="20"/>
                <w:rtl w:val="0"/>
              </w:rPr>
              <w:t xml:space="preserve">$43,898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c0392b"/>
                <w:sz w:val="20"/>
                <w:szCs w:val="20"/>
                <w:rtl w:val="0"/>
              </w:rPr>
              <w:t xml:space="preserve">5.45%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4a4a4a"/>
                <w:sz w:val="20"/>
                <w:szCs w:val="20"/>
                <w:rtl w:val="0"/>
              </w:rPr>
              <w:t xml:space="preserve">Southeast Asia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4a4a4a"/>
                <w:sz w:val="20"/>
                <w:szCs w:val="20"/>
                <w:rtl w:val="0"/>
              </w:rPr>
              <w:t xml:space="preserve">$884,438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4a4a4a"/>
                <w:sz w:val="20"/>
                <w:szCs w:val="20"/>
                <w:rtl w:val="0"/>
              </w:rPr>
              <w:t xml:space="preserve">$17,852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c0392b"/>
                <w:sz w:val="20"/>
                <w:szCs w:val="20"/>
                <w:rtl w:val="0"/>
              </w:rPr>
              <w:t xml:space="preserve">2.02%</w:t>
            </w:r>
            <w:r w:rsidDel="00000000" w:rsidR="00000000" w:rsidRPr="00000000">
              <w:rPr>
                <w:rtl w:val="0"/>
              </w:rPr>
            </w:r>
          </w:p>
        </w:tc>
      </w:tr>
    </w:tbl>
    <w:p w:rsidR="00000000" w:rsidDel="00000000" w:rsidP="00000000" w:rsidRDefault="00000000" w:rsidRPr="00000000" w14:paraId="000000B9">
      <w:pPr>
        <w:spacing w:after="60" w:before="6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fa3" w:val="clear"/>
            <w:tcMar>
              <w:top w:w="120.0" w:type="dxa"/>
              <w:left w:w="140.0" w:type="dxa"/>
              <w:bottom w:w="120.0" w:type="dxa"/>
              <w:right w:w="14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6"/>
                <w:szCs w:val="26"/>
                <w:rtl w:val="0"/>
              </w:rPr>
              <w:t xml:space="preserve">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00.0" w:type="dxa"/>
              <w:left w:w="16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f3864"/>
                <w:sz w:val="22"/>
                <w:szCs w:val="22"/>
                <w:rtl w:val="0"/>
              </w:rPr>
              <w:t xml:space="preserve">Revenue is growing strongly, but profit margin has flatlined.</w:t>
            </w:r>
            <w:r w:rsidDel="00000000" w:rsidR="00000000" w:rsidRPr="00000000">
              <w:rPr>
                <w:rtl w:val="0"/>
              </w:rPr>
            </w:r>
          </w:p>
          <w:p w:rsidR="00000000" w:rsidDel="00000000" w:rsidP="00000000" w:rsidRDefault="00000000" w:rsidRPr="00000000" w14:paraId="000000BC">
            <w:pPr>
              <w:spacing w:after="0" w:before="40" w:lineRule="auto"/>
              <w:rPr/>
            </w:pPr>
            <w:r w:rsidDel="00000000" w:rsidR="00000000" w:rsidRPr="00000000">
              <w:rPr>
                <w:rFonts w:ascii="Arial" w:cs="Arial" w:eastAsia="Arial" w:hAnsi="Arial"/>
                <w:color w:val="4a4a4a"/>
                <w:sz w:val="21"/>
                <w:szCs w:val="21"/>
                <w:rtl w:val="0"/>
              </w:rPr>
              <w:t xml:space="preserve">Revenue grew from $2.26M in 2011 to $4.30M in 2014 — a 90.3% increase over four years, with year-on-year growth rates of +18.5%, +27.2%, and +26.3%. However, profit margin has remained within a narrow 11.02%–11.99% band across all four years. This decoupling of revenue growth from margin improvement is a warning signal: it indicates that growth is being achieved partly by selling at increasingly unprofitable discount levels, not through genuine efficiency gains.</w:t>
            </w:r>
            <w:r w:rsidDel="00000000" w:rsidR="00000000" w:rsidRPr="00000000">
              <w:rPr>
                <w:rtl w:val="0"/>
              </w:rPr>
            </w:r>
          </w:p>
        </w:tc>
      </w:tr>
    </w:tbl>
    <w:p w:rsidR="00000000" w:rsidDel="00000000" w:rsidP="00000000" w:rsidRDefault="00000000" w:rsidRPr="00000000" w14:paraId="000000BD">
      <w:pPr>
        <w:spacing w:after="60" w:before="6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00"/>
        <w:gridCol w:w="2040"/>
        <w:gridCol w:w="2040"/>
        <w:gridCol w:w="2040"/>
        <w:gridCol w:w="2040"/>
        <w:tblGridChange w:id="0">
          <w:tblGrid>
            <w:gridCol w:w="1200"/>
            <w:gridCol w:w="2040"/>
            <w:gridCol w:w="2040"/>
            <w:gridCol w:w="2040"/>
            <w:gridCol w:w="2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ffffff"/>
                <w:sz w:val="20"/>
                <w:szCs w:val="20"/>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ffffff"/>
                <w:sz w:val="20"/>
                <w:szCs w:val="20"/>
                <w:rtl w:val="0"/>
              </w:rPr>
              <w:t xml:space="preserve">Total Profit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ffffff"/>
                <w:sz w:val="20"/>
                <w:szCs w:val="20"/>
                <w:rtl w:val="0"/>
              </w:rPr>
              <w:t xml:space="preserve">YoY Revenue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ffffff"/>
                <w:sz w:val="20"/>
                <w:szCs w:val="20"/>
                <w:rtl w:val="0"/>
              </w:rPr>
              <w:t xml:space="preserve">Profit Margin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4a4a4a"/>
                <w:sz w:val="20"/>
                <w:szCs w:val="20"/>
                <w:rtl w:val="0"/>
              </w:rPr>
              <w:t xml:space="preserve">2011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4a4a4a"/>
                <w:sz w:val="20"/>
                <w:szCs w:val="20"/>
                <w:rtl w:val="0"/>
              </w:rPr>
              <w:t xml:space="preserve">$2,259,511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4a4a4a"/>
                <w:sz w:val="20"/>
                <w:szCs w:val="20"/>
                <w:rtl w:val="0"/>
              </w:rPr>
              <w:t xml:space="preserve">$248,941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4a4a4a"/>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4a4a4a"/>
                <w:sz w:val="20"/>
                <w:szCs w:val="20"/>
                <w:rtl w:val="0"/>
              </w:rPr>
              <w:t xml:space="preserve">11.02%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4a4a4a"/>
                <w:sz w:val="20"/>
                <w:szCs w:val="20"/>
                <w:rtl w:val="0"/>
              </w:rPr>
              <w:t xml:space="preserve">2012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4a4a4a"/>
                <w:sz w:val="20"/>
                <w:szCs w:val="20"/>
                <w:rtl w:val="0"/>
              </w:rPr>
              <w:t xml:space="preserve">$2,677,493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4a4a4a"/>
                <w:sz w:val="20"/>
                <w:szCs w:val="20"/>
                <w:rtl w:val="0"/>
              </w:rPr>
              <w:t xml:space="preserve">$307,415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0"/>
                <w:bCs w:val="0"/>
                <w:color w:val="4a4a4a"/>
                <w:sz w:val="20"/>
                <w:szCs w:val="20"/>
                <w:rtl w:val="0"/>
              </w:rPr>
              <w:t xml:space="preserve">+18.5%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4a4a4a"/>
                <w:sz w:val="20"/>
                <w:szCs w:val="20"/>
                <w:rtl w:val="0"/>
              </w:rPr>
              <w:t xml:space="preserve">11.48%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4a4a4a"/>
                <w:sz w:val="20"/>
                <w:szCs w:val="20"/>
                <w:rtl w:val="0"/>
              </w:rPr>
              <w:t xml:space="preserve">2013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4a4a4a"/>
                <w:sz w:val="20"/>
                <w:szCs w:val="20"/>
                <w:rtl w:val="0"/>
              </w:rPr>
              <w:t xml:space="preserve">$3,405,860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4a4a4a"/>
                <w:sz w:val="20"/>
                <w:szCs w:val="20"/>
                <w:rtl w:val="0"/>
              </w:rPr>
              <w:t xml:space="preserve">$408,513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4a4a4a"/>
                <w:sz w:val="20"/>
                <w:szCs w:val="20"/>
                <w:rtl w:val="0"/>
              </w:rPr>
              <w:t xml:space="preserve">+27.2%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4a4a4a"/>
                <w:sz w:val="20"/>
                <w:szCs w:val="20"/>
                <w:rtl w:val="0"/>
              </w:rPr>
              <w:t xml:space="preserve">11.99%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4a4a4a"/>
                <w:sz w:val="20"/>
                <w:szCs w:val="20"/>
                <w:rtl w:val="0"/>
              </w:rPr>
              <w:t xml:space="preserve">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4a4a4a"/>
                <w:sz w:val="20"/>
                <w:szCs w:val="20"/>
                <w:rtl w:val="0"/>
              </w:rPr>
              <w:t xml:space="preserve">$4,300,041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4a4a4a"/>
                <w:sz w:val="20"/>
                <w:szCs w:val="20"/>
                <w:rtl w:val="0"/>
              </w:rPr>
              <w:t xml:space="preserve">$504,166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4a4a4a"/>
                <w:sz w:val="20"/>
                <w:szCs w:val="20"/>
                <w:rtl w:val="0"/>
              </w:rPr>
              <w:t xml:space="preserve">+26.3%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4a4a4a"/>
                <w:sz w:val="20"/>
                <w:szCs w:val="20"/>
                <w:rtl w:val="0"/>
              </w:rPr>
              <w:t xml:space="preserve">11.72%</w:t>
            </w:r>
            <w:r w:rsidDel="00000000" w:rsidR="00000000" w:rsidRPr="00000000">
              <w:rPr>
                <w:rtl w:val="0"/>
              </w:rPr>
            </w:r>
          </w:p>
        </w:tc>
      </w:tr>
    </w:tbl>
    <w:p w:rsidR="00000000" w:rsidDel="00000000" w:rsidP="00000000" w:rsidRDefault="00000000" w:rsidRPr="00000000" w14:paraId="000000D7">
      <w:pPr>
        <w:spacing w:after="60" w:before="6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5fa3" w:val="clear"/>
            <w:tcMar>
              <w:top w:w="120.0" w:type="dxa"/>
              <w:left w:w="140.0" w:type="dxa"/>
              <w:bottom w:w="120.0" w:type="dxa"/>
              <w:right w:w="14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26"/>
                <w:szCs w:val="26"/>
                <w:rtl w:val="0"/>
              </w:rPr>
              <w:t xml:space="preserve">F5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00.0" w:type="dxa"/>
              <w:left w:w="16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1f3864"/>
                <w:sz w:val="22"/>
                <w:szCs w:val="22"/>
                <w:rtl w:val="0"/>
              </w:rPr>
              <w:t xml:space="preserve">Technology is the highest-value category; Furniture is the weakest.</w:t>
            </w:r>
            <w:r w:rsidDel="00000000" w:rsidR="00000000" w:rsidRPr="00000000">
              <w:rPr>
                <w:rtl w:val="0"/>
              </w:rPr>
            </w:r>
          </w:p>
          <w:p w:rsidR="00000000" w:rsidDel="00000000" w:rsidP="00000000" w:rsidRDefault="00000000" w:rsidRPr="00000000" w14:paraId="000000DA">
            <w:pPr>
              <w:spacing w:after="0" w:before="40" w:lineRule="auto"/>
              <w:rPr/>
            </w:pPr>
            <w:r w:rsidDel="00000000" w:rsidR="00000000" w:rsidRPr="00000000">
              <w:rPr>
                <w:rFonts w:ascii="Arial" w:cs="Arial" w:eastAsia="Arial" w:hAnsi="Arial"/>
                <w:color w:val="4a4a4a"/>
                <w:sz w:val="21"/>
                <w:szCs w:val="21"/>
                <w:rtl w:val="0"/>
              </w:rPr>
              <w:t xml:space="preserve">Technology generated $4.74M in revenue and $663,779 in profit at a 13.99% margin. Office Supplies, while lower in revenue ($3.79M), achieved a comparable margin of 13.69% with far fewer large transactions and represents highly efficient, high-volume low-cost sales. Furniture generated the highest revenue of all three categories at $4.11M but delivered only $286,782 in profit at a 6.98% margin — roughly half the efficiency of Technology and Office Supplies. Furniture is also the category most affected by discount-driven losses.</w:t>
            </w:r>
            <w:r w:rsidDel="00000000" w:rsidR="00000000" w:rsidRPr="00000000">
              <w:rPr>
                <w:rtl w:val="0"/>
              </w:rPr>
            </w:r>
          </w:p>
        </w:tc>
      </w:tr>
    </w:tbl>
    <w:p w:rsidR="00000000" w:rsidDel="00000000" w:rsidP="00000000" w:rsidRDefault="00000000" w:rsidRPr="00000000" w14:paraId="000000DB">
      <w:pPr>
        <w:spacing w:after="60" w:before="6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160"/>
        <w:gridCol w:w="1800"/>
        <w:gridCol w:w="1800"/>
        <w:gridCol w:w="1800"/>
        <w:gridCol w:w="1800"/>
        <w:tblGridChange w:id="0">
          <w:tblGrid>
            <w:gridCol w:w="2160"/>
            <w:gridCol w:w="1800"/>
            <w:gridCol w:w="1800"/>
            <w:gridCol w:w="18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ffffff"/>
                <w:sz w:val="20"/>
                <w:szCs w:val="20"/>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20"/>
                <w:szCs w:val="20"/>
                <w:rtl w:val="0"/>
              </w:rPr>
              <w:t xml:space="preserve">Total Profit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ffffff"/>
                <w:sz w:val="20"/>
                <w:szCs w:val="20"/>
                <w:rtl w:val="0"/>
              </w:rPr>
              <w:t xml:space="preserve">Profit 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ffffff"/>
                <w:sz w:val="20"/>
                <w:szCs w:val="20"/>
                <w:rtl w:val="0"/>
              </w:rPr>
              <w:t xml:space="preserve">Transactions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4a4a4a"/>
                <w:sz w:val="20"/>
                <w:szCs w:val="20"/>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4a4a4a"/>
                <w:sz w:val="20"/>
                <w:szCs w:val="20"/>
                <w:rtl w:val="0"/>
              </w:rPr>
              <w:t xml:space="preserve">$4,744,691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4a4a4a"/>
                <w:sz w:val="20"/>
                <w:szCs w:val="20"/>
                <w:rtl w:val="0"/>
              </w:rPr>
              <w:t xml:space="preserve">$663,779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1a7a6e"/>
                <w:sz w:val="20"/>
                <w:szCs w:val="20"/>
                <w:rtl w:val="0"/>
              </w:rPr>
              <w:t xml:space="preserve">13.99%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4a4a4a"/>
                <w:sz w:val="20"/>
                <w:szCs w:val="20"/>
                <w:rtl w:val="0"/>
              </w:rPr>
              <w:t xml:space="preserve">10,141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4a4a4a"/>
                <w:sz w:val="20"/>
                <w:szCs w:val="20"/>
                <w:rtl w:val="0"/>
              </w:rPr>
              <w:t xml:space="preserve">Office Supplies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4a4a4a"/>
                <w:sz w:val="20"/>
                <w:szCs w:val="20"/>
                <w:rtl w:val="0"/>
              </w:rPr>
              <w:t xml:space="preserve">$3,787,330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4a4a4a"/>
                <w:sz w:val="20"/>
                <w:szCs w:val="20"/>
                <w:rtl w:val="0"/>
              </w:rPr>
              <w:t xml:space="preserve">$518,474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1a7a6e"/>
                <w:sz w:val="20"/>
                <w:szCs w:val="20"/>
                <w:rtl w:val="0"/>
              </w:rPr>
              <w:t xml:space="preserve">13.69%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4a4a4a"/>
                <w:sz w:val="20"/>
                <w:szCs w:val="20"/>
                <w:rtl w:val="0"/>
              </w:rPr>
              <w:t xml:space="preserve">31,273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4a4a4a"/>
                <w:sz w:val="20"/>
                <w:szCs w:val="20"/>
                <w:rtl w:val="0"/>
              </w:rPr>
              <w:t xml:space="preserve">Furniture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4a4a4a"/>
                <w:sz w:val="20"/>
                <w:szCs w:val="20"/>
                <w:rtl w:val="0"/>
              </w:rPr>
              <w:t xml:space="preserve">$4,110,884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4a4a4a"/>
                <w:sz w:val="20"/>
                <w:szCs w:val="20"/>
                <w:rtl w:val="0"/>
              </w:rPr>
              <w:t xml:space="preserve">$286,782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0"/>
                <w:bCs w:val="0"/>
                <w:color w:val="1a7a6e"/>
                <w:sz w:val="20"/>
                <w:szCs w:val="20"/>
                <w:rtl w:val="0"/>
              </w:rPr>
              <w:t xml:space="preserve">6.98%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4f7"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0"/>
                <w:bCs w:val="0"/>
                <w:color w:val="4a4a4a"/>
                <w:sz w:val="20"/>
                <w:szCs w:val="20"/>
                <w:rtl w:val="0"/>
              </w:rPr>
              <w:t xml:space="preserve">9,876</w:t>
            </w:r>
            <w:r w:rsidDel="00000000" w:rsidR="00000000" w:rsidRPr="00000000">
              <w:rPr>
                <w:rtl w:val="0"/>
              </w:rPr>
            </w:r>
          </w:p>
        </w:tc>
      </w:tr>
    </w:tbl>
    <w:p w:rsidR="00000000" w:rsidDel="00000000" w:rsidP="00000000" w:rsidRDefault="00000000" w:rsidRPr="00000000" w14:paraId="000000F0">
      <w:pPr>
        <w:spacing w:after="60" w:before="60" w:lineRule="auto"/>
        <w:rPr/>
      </w:pP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pBdr>
          <w:bottom w:color="2e5fa3" w:space="2" w:sz="8" w:val="single"/>
        </w:pBdr>
        <w:spacing w:after="100" w:before="280" w:lineRule="auto"/>
        <w:rPr/>
      </w:pPr>
      <w:r w:rsidDel="00000000" w:rsidR="00000000" w:rsidRPr="00000000">
        <w:rPr>
          <w:rFonts w:ascii="Arial" w:cs="Arial" w:eastAsia="Arial" w:hAnsi="Arial"/>
          <w:b w:val="1"/>
          <w:bCs w:val="1"/>
          <w:color w:val="1f3864"/>
          <w:sz w:val="28"/>
          <w:szCs w:val="28"/>
          <w:rtl w:val="0"/>
        </w:rPr>
        <w:t xml:space="preserve">5.  BUSINESS RECOMMENDATIONS</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spacing w:after="60" w:before="60" w:lineRule="auto"/>
        <w:jc w:val="both"/>
        <w:rPr/>
      </w:pPr>
      <w:r w:rsidDel="00000000" w:rsidR="00000000" w:rsidRPr="00000000">
        <w:rPr>
          <w:rFonts w:ascii="Arial" w:cs="Arial" w:eastAsia="Arial" w:hAnsi="Arial"/>
          <w:color w:val="4a4a4a"/>
          <w:sz w:val="22"/>
          <w:szCs w:val="22"/>
          <w:rtl w:val="0"/>
        </w:rPr>
        <w:t xml:space="preserve">The following four recommendations are drawn directly from the findings above. Each recommendation is linked to its supporting evidence and includes a suggested priority level.</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Mar>
              <w:top w:w="120.0" w:type="dxa"/>
              <w:left w:w="140.0" w:type="dxa"/>
              <w:bottom w:w="120.0" w:type="dxa"/>
              <w:right w:w="14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6"/>
                <w:szCs w:val="26"/>
                <w:rtl w:val="0"/>
              </w:rPr>
              <w:t xml:space="preserve">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4efeb" w:val="clear"/>
            <w:tcMar>
              <w:top w:w="100.0" w:type="dxa"/>
              <w:left w:w="160.0" w:type="dxa"/>
              <w:bottom w:w="10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a7a6e"/>
                <w:sz w:val="22"/>
                <w:szCs w:val="22"/>
                <w:rtl w:val="0"/>
              </w:rPr>
              <w:t xml:space="preserve">Introduce a discount cap policy — maximum 20% across all categories. [Priority: High]</w:t>
            </w:r>
            <w:r w:rsidDel="00000000" w:rsidR="00000000" w:rsidRPr="00000000">
              <w:rPr>
                <w:rtl w:val="0"/>
              </w:rPr>
            </w:r>
          </w:p>
          <w:p w:rsidR="00000000" w:rsidDel="00000000" w:rsidP="00000000" w:rsidRDefault="00000000" w:rsidRPr="00000000" w14:paraId="000000F8">
            <w:pPr>
              <w:spacing w:after="0" w:before="40" w:lineRule="auto"/>
              <w:rPr/>
            </w:pPr>
            <w:r w:rsidDel="00000000" w:rsidR="00000000" w:rsidRPr="00000000">
              <w:rPr>
                <w:rFonts w:ascii="Arial" w:cs="Arial" w:eastAsia="Arial" w:hAnsi="Arial"/>
                <w:color w:val="4a4a4a"/>
                <w:sz w:val="21"/>
                <w:szCs w:val="21"/>
                <w:rtl w:val="0"/>
              </w:rPr>
              <w:t xml:space="preserve">The data shows a clear inflection point: orders above 20% discount consistently lose money at the portfolio level. Medium and high discount bands collectively destroyed $814,682 in profit across 11,328 transactions. Implementing a 20% cap would preserve the revenue from these transactions while eliminating the structural loss. Any exception — such as a volume deal or strategic account — should require manager approval and be tracked separately.</w:t>
            </w:r>
            <w:r w:rsidDel="00000000" w:rsidR="00000000" w:rsidRPr="00000000">
              <w:rPr>
                <w:rtl w:val="0"/>
              </w:rPr>
            </w:r>
          </w:p>
        </w:tc>
      </w:tr>
    </w:tbl>
    <w:p w:rsidR="00000000" w:rsidDel="00000000" w:rsidP="00000000" w:rsidRDefault="00000000" w:rsidRPr="00000000" w14:paraId="000000F9">
      <w:pPr>
        <w:spacing w:after="60" w:before="60" w:lineRule="auto"/>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Mar>
              <w:top w:w="120.0" w:type="dxa"/>
              <w:left w:w="140.0" w:type="dxa"/>
              <w:bottom w:w="120.0" w:type="dxa"/>
              <w:right w:w="14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26"/>
                <w:szCs w:val="26"/>
                <w:rtl w:val="0"/>
              </w:rPr>
              <w:t xml:space="preserve">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4efeb" w:val="clear"/>
            <w:tcMar>
              <w:top w:w="100.0" w:type="dxa"/>
              <w:left w:w="16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a7a6e"/>
                <w:sz w:val="22"/>
                <w:szCs w:val="22"/>
                <w:rtl w:val="0"/>
              </w:rPr>
              <w:t xml:space="preserve">Restructure pricing floors for the Tables sub-category. [Priority: High]</w:t>
            </w:r>
            <w:r w:rsidDel="00000000" w:rsidR="00000000" w:rsidRPr="00000000">
              <w:rPr>
                <w:rtl w:val="0"/>
              </w:rPr>
            </w:r>
          </w:p>
          <w:p w:rsidR="00000000" w:rsidDel="00000000" w:rsidP="00000000" w:rsidRDefault="00000000" w:rsidRPr="00000000" w14:paraId="000000FC">
            <w:pPr>
              <w:spacing w:after="0" w:before="40" w:lineRule="auto"/>
              <w:rPr/>
            </w:pPr>
            <w:r w:rsidDel="00000000" w:rsidR="00000000" w:rsidRPr="00000000">
              <w:rPr>
                <w:rFonts w:ascii="Arial" w:cs="Arial" w:eastAsia="Arial" w:hAnsi="Arial"/>
                <w:color w:val="4a4a4a"/>
                <w:sz w:val="21"/>
                <w:szCs w:val="21"/>
                <w:rtl w:val="0"/>
              </w:rPr>
              <w:t xml:space="preserve">Tables are profitable at full price (+$60,447 with no discount) but loss-making under any meaningful discount. This means the fix is not to stop selling Tables — it is to set a minimum price floor and restrict discount authority on this sub-category. A recommended floor of 15% maximum discount, enforced at the point of sale, would likely recover the majority of the $64,083 annual loss.</w:t>
            </w:r>
            <w:r w:rsidDel="00000000" w:rsidR="00000000" w:rsidRPr="00000000">
              <w:rPr>
                <w:rtl w:val="0"/>
              </w:rPr>
            </w:r>
          </w:p>
        </w:tc>
      </w:tr>
    </w:tbl>
    <w:p w:rsidR="00000000" w:rsidDel="00000000" w:rsidP="00000000" w:rsidRDefault="00000000" w:rsidRPr="00000000" w14:paraId="000000FD">
      <w:pPr>
        <w:spacing w:after="60" w:before="60" w:lineRule="auto"/>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Mar>
              <w:top w:w="120.0" w:type="dxa"/>
              <w:left w:w="140.0" w:type="dxa"/>
              <w:bottom w:w="120.0" w:type="dxa"/>
              <w:right w:w="14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26"/>
                <w:szCs w:val="26"/>
                <w:rtl w:val="0"/>
              </w:rPr>
              <w:t xml:space="preserve">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4efeb" w:val="clear"/>
            <w:tcMar>
              <w:top w:w="100.0" w:type="dxa"/>
              <w:left w:w="16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7a6e"/>
                <w:sz w:val="22"/>
                <w:szCs w:val="22"/>
                <w:rtl w:val="0"/>
              </w:rPr>
              <w:t xml:space="preserve">Commission a Southeast Asia operations review. [Priority: Medium]</w:t>
            </w:r>
            <w:r w:rsidDel="00000000" w:rsidR="00000000" w:rsidRPr="00000000">
              <w:rPr>
                <w:rtl w:val="0"/>
              </w:rPr>
            </w:r>
          </w:p>
          <w:p w:rsidR="00000000" w:rsidDel="00000000" w:rsidP="00000000" w:rsidRDefault="00000000" w:rsidRPr="00000000" w14:paraId="00000100">
            <w:pPr>
              <w:spacing w:after="0" w:before="40" w:lineRule="auto"/>
              <w:rPr/>
            </w:pPr>
            <w:r w:rsidDel="00000000" w:rsidR="00000000" w:rsidRPr="00000000">
              <w:rPr>
                <w:rFonts w:ascii="Arial" w:cs="Arial" w:eastAsia="Arial" w:hAnsi="Arial"/>
                <w:color w:val="4a4a4a"/>
                <w:sz w:val="21"/>
                <w:szCs w:val="21"/>
                <w:rtl w:val="0"/>
              </w:rPr>
              <w:t xml:space="preserve">The 17.5 percentage point margin gap between Southeast Asia (2.02%) and North Asia (19.52%) on comparable revenue warrants investigation. The likely cause is regional discounting practices, but cost-of-goods, shipping costs, or competitive pricing pressures may also be contributing. A targeted audit of Southeast Asia's discount approvals, contract structures, and cost base would identify the specific levers available to improve this region's contribution.</w:t>
            </w:r>
            <w:r w:rsidDel="00000000" w:rsidR="00000000" w:rsidRPr="00000000">
              <w:rPr>
                <w:rtl w:val="0"/>
              </w:rPr>
            </w:r>
          </w:p>
        </w:tc>
      </w:tr>
    </w:tbl>
    <w:p w:rsidR="00000000" w:rsidDel="00000000" w:rsidP="00000000" w:rsidRDefault="00000000" w:rsidRPr="00000000" w14:paraId="00000101">
      <w:pPr>
        <w:spacing w:after="60" w:before="6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6e" w:val="clear"/>
            <w:tcMar>
              <w:top w:w="120.0" w:type="dxa"/>
              <w:left w:w="140.0" w:type="dxa"/>
              <w:bottom w:w="120.0" w:type="dxa"/>
              <w:right w:w="14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26"/>
                <w:szCs w:val="26"/>
                <w:rtl w:val="0"/>
              </w:rPr>
              <w:t xml:space="preserve">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4efeb" w:val="clear"/>
            <w:tcMar>
              <w:top w:w="100.0" w:type="dxa"/>
              <w:left w:w="16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a7a6e"/>
                <w:sz w:val="22"/>
                <w:szCs w:val="22"/>
                <w:rtl w:val="0"/>
              </w:rPr>
              <w:t xml:space="preserve">Prioritise Technology and Office Supplies for future growth investment. [Priority: Medium]</w:t>
            </w:r>
            <w:r w:rsidDel="00000000" w:rsidR="00000000" w:rsidRPr="00000000">
              <w:rPr>
                <w:rtl w:val="0"/>
              </w:rPr>
            </w:r>
          </w:p>
          <w:p w:rsidR="00000000" w:rsidDel="00000000" w:rsidP="00000000" w:rsidRDefault="00000000" w:rsidRPr="00000000" w14:paraId="00000104">
            <w:pPr>
              <w:spacing w:after="0" w:before="40" w:lineRule="auto"/>
              <w:rPr/>
            </w:pPr>
            <w:r w:rsidDel="00000000" w:rsidR="00000000" w:rsidRPr="00000000">
              <w:rPr>
                <w:rFonts w:ascii="Arial" w:cs="Arial" w:eastAsia="Arial" w:hAnsi="Arial"/>
                <w:color w:val="4a4a4a"/>
                <w:sz w:val="21"/>
                <w:szCs w:val="21"/>
                <w:rtl w:val="0"/>
              </w:rPr>
              <w:t xml:space="preserve">With margins of 13.99% and 13.69% respectively, both categories demonstrate proven efficiency. Directing additional marketing, inventory, and sales resource toward these categories — rather than Furniture — would improve overall portfolio margin without structural changes to the business. Office Supplies in particular offers a high-frequency, low-discount sales pattern that is exactly the model the rest of the business should emulate.</w:t>
            </w:r>
            <w:r w:rsidDel="00000000" w:rsidR="00000000" w:rsidRPr="00000000">
              <w:rPr>
                <w:rtl w:val="0"/>
              </w:rPr>
            </w:r>
          </w:p>
        </w:tc>
      </w:tr>
    </w:tbl>
    <w:p w:rsidR="00000000" w:rsidDel="00000000" w:rsidP="00000000" w:rsidRDefault="00000000" w:rsidRPr="00000000" w14:paraId="00000105">
      <w:pPr>
        <w:spacing w:after="60" w:before="60" w:lineRule="auto"/>
        <w:rPr/>
      </w:pP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pBdr>
          <w:bottom w:color="2e5fa3" w:space="2" w:sz="8" w:val="single"/>
        </w:pBdr>
        <w:spacing w:after="100" w:before="280" w:lineRule="auto"/>
        <w:rPr/>
      </w:pPr>
      <w:r w:rsidDel="00000000" w:rsidR="00000000" w:rsidRPr="00000000">
        <w:rPr>
          <w:rFonts w:ascii="Arial" w:cs="Arial" w:eastAsia="Arial" w:hAnsi="Arial"/>
          <w:b w:val="1"/>
          <w:bCs w:val="1"/>
          <w:color w:val="1f3864"/>
          <w:sz w:val="28"/>
          <w:szCs w:val="28"/>
          <w:rtl w:val="0"/>
        </w:rPr>
        <w:t xml:space="preserve">6.  LIMITATIONS &amp; ASSUMPTIONS</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spacing w:after="60" w:before="60" w:lineRule="auto"/>
        <w:jc w:val="both"/>
        <w:rPr/>
      </w:pPr>
      <w:r w:rsidDel="00000000" w:rsidR="00000000" w:rsidRPr="00000000">
        <w:rPr>
          <w:rFonts w:ascii="Arial" w:cs="Arial" w:eastAsia="Arial" w:hAnsi="Arial"/>
          <w:color w:val="4a4a4a"/>
          <w:sz w:val="22"/>
          <w:szCs w:val="22"/>
          <w:rtl w:val="0"/>
        </w:rPr>
        <w:t xml:space="preserve">A rigorous analysis requires transparency about what the data cannot tell us. The following limitations apply to this project:</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Cost of goods sold (COGS) is not included in the dataset. Profit figures reflect the recorded profit field in the data, which may not account for all operating costs. True net profitability at a company level may differ.</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Customer lifetime value (CLV) was not calculated. While customer and segment data is available, repeat purchase behaviour and customer retention rates were not analysed. Some high-discount transactions may represent deliberate customer acquisition spend.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Discount context is unknown. Some discounts may be contractual (large corporate accounts, volume agreements) rather than ad hoc discounting. The analysis treats all discounts equivalently, which may overstate the problem in some segments.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The dataset ends in 2014. Any seasonal patterns or structural shifts post-2014 are not captured and cannot be inferred from this analysis.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Geographic granularity is limited to region and country. City-level or store-level analysis — which might reveal further variation within regions — was not conducted.</w:t>
      </w: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spacing w:after="60" w:before="60" w:lineRule="auto"/>
        <w:rPr/>
      </w:pPr>
      <w:r w:rsidDel="00000000" w:rsidR="00000000" w:rsidRPr="00000000">
        <w:rPr>
          <w:rtl w:val="0"/>
        </w:rPr>
      </w:r>
    </w:p>
    <w:p w:rsidR="00000000" w:rsidDel="00000000" w:rsidP="00000000" w:rsidRDefault="00000000" w:rsidRPr="00000000" w14:paraId="00000112">
      <w:pPr>
        <w:pBdr>
          <w:bottom w:color="2e5fa3" w:space="2" w:sz="8" w:val="single"/>
        </w:pBdr>
        <w:spacing w:after="100" w:before="280" w:lineRule="auto"/>
        <w:rPr/>
      </w:pPr>
      <w:r w:rsidDel="00000000" w:rsidR="00000000" w:rsidRPr="00000000">
        <w:rPr>
          <w:rFonts w:ascii="Arial" w:cs="Arial" w:eastAsia="Arial" w:hAnsi="Arial"/>
          <w:b w:val="1"/>
          <w:bCs w:val="1"/>
          <w:color w:val="1f3864"/>
          <w:sz w:val="28"/>
          <w:szCs w:val="28"/>
          <w:rtl w:val="0"/>
        </w:rPr>
        <w:t xml:space="preserve">7.  CONCLUSION</w:t>
      </w: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tl w:val="0"/>
        </w:rPr>
      </w:r>
    </w:p>
    <w:p w:rsidR="00000000" w:rsidDel="00000000" w:rsidP="00000000" w:rsidRDefault="00000000" w:rsidRPr="00000000" w14:paraId="00000114">
      <w:pPr>
        <w:spacing w:after="60" w:before="60" w:lineRule="auto"/>
        <w:jc w:val="both"/>
        <w:rPr/>
      </w:pPr>
      <w:r w:rsidDel="00000000" w:rsidR="00000000" w:rsidRPr="00000000">
        <w:rPr>
          <w:rFonts w:ascii="Arial" w:cs="Arial" w:eastAsia="Arial" w:hAnsi="Arial"/>
          <w:color w:val="4a4a4a"/>
          <w:sz w:val="22"/>
          <w:szCs w:val="22"/>
          <w:rtl w:val="0"/>
        </w:rPr>
        <w:t xml:space="preserve">This analysis demonstrates that the Superstore's profitability challenge is not a revenue problem — the business is growing consistently and generating significant sales volume globally. The problem is structural: an undisciplined discount strategy is systematically converting revenue into losses, particularly in the Furniture category and the Southeast Asia region.</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tl w:val="0"/>
        </w:rPr>
      </w:r>
    </w:p>
    <w:p w:rsidR="00000000" w:rsidDel="00000000" w:rsidP="00000000" w:rsidRDefault="00000000" w:rsidRPr="00000000" w14:paraId="00000116">
      <w:pPr>
        <w:spacing w:after="60" w:before="60" w:lineRule="auto"/>
        <w:jc w:val="both"/>
        <w:rPr/>
      </w:pPr>
      <w:r w:rsidDel="00000000" w:rsidR="00000000" w:rsidRPr="00000000">
        <w:rPr>
          <w:rFonts w:ascii="Arial" w:cs="Arial" w:eastAsia="Arial" w:hAnsi="Arial"/>
          <w:color w:val="4a4a4a"/>
          <w:sz w:val="22"/>
          <w:szCs w:val="22"/>
          <w:rtl w:val="0"/>
        </w:rPr>
        <w:t xml:space="preserve">The most important finding is the clearest: removing high and medium discounts would not simply improve margins — it would transform currently loss-making product lines into profitable ones. The Tables sub-category is the clearest example: a product generating $60,000 in profit with no discount and $64,000 in losses with excessive discounting. That gap represents a policy decision, not a market reality.</w:t>
      </w: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tl w:val="0"/>
        </w:rPr>
      </w:r>
    </w:p>
    <w:p w:rsidR="00000000" w:rsidDel="00000000" w:rsidP="00000000" w:rsidRDefault="00000000" w:rsidRPr="00000000" w14:paraId="00000118">
      <w:pPr>
        <w:spacing w:after="60" w:before="60" w:lineRule="auto"/>
        <w:jc w:val="both"/>
        <w:rPr/>
      </w:pPr>
      <w:r w:rsidDel="00000000" w:rsidR="00000000" w:rsidRPr="00000000">
        <w:rPr>
          <w:rFonts w:ascii="Arial" w:cs="Arial" w:eastAsia="Arial" w:hAnsi="Arial"/>
          <w:color w:val="4a4a4a"/>
          <w:sz w:val="22"/>
          <w:szCs w:val="22"/>
          <w:rtl w:val="0"/>
        </w:rPr>
        <w:t xml:space="preserve">The four recommendations presented in this report — a discount cap policy, pricing floors for Tables, a Southeast Asia review, and a category investment reallocation — are data-driven, actionable, and achievable without major structural changes to the business. Implemented together, they have the potential to meaningfully improve the company's overall profit margin and ensure that the strong revenue growth trajectory is matched by proportional profit growth.</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pBdr>
          <w:top w:color="2e5fa3" w:space="4" w:sz="6" w:val="single"/>
        </w:pBdr>
        <w:spacing w:after="80" w:before="200" w:lineRule="auto"/>
        <w:jc w:val="center"/>
        <w:rPr/>
      </w:pPr>
      <w:r w:rsidDel="00000000" w:rsidR="00000000" w:rsidRPr="00000000">
        <w:rPr>
          <w:rFonts w:ascii="Arial" w:cs="Arial" w:eastAsia="Arial" w:hAnsi="Arial"/>
          <w:i w:val="1"/>
          <w:iCs w:val="1"/>
          <w:color w:val="6c757d"/>
          <w:sz w:val="22"/>
          <w:szCs w:val="22"/>
          <w:rtl w:val="0"/>
        </w:rPr>
        <w:t xml:space="preserve">— End of Report —</w:t>
      </w:r>
      <w:r w:rsidDel="00000000" w:rsidR="00000000" w:rsidRPr="00000000">
        <w:rPr>
          <w:rtl w:val="0"/>
        </w:rPr>
      </w:r>
    </w:p>
    <w:p w:rsidR="00000000" w:rsidDel="00000000" w:rsidP="00000000" w:rsidRDefault="00000000" w:rsidRPr="00000000" w14:paraId="0000011C">
      <w:pPr>
        <w:spacing w:after="60" w:before="0" w:lineRule="auto"/>
        <w:jc w:val="center"/>
        <w:rPr/>
      </w:pPr>
      <w:r w:rsidDel="00000000" w:rsidR="00000000" w:rsidRPr="00000000">
        <w:rPr>
          <w:rFonts w:ascii="Arial" w:cs="Arial" w:eastAsia="Arial" w:hAnsi="Arial"/>
          <w:color w:val="6c757d"/>
          <w:sz w:val="18"/>
          <w:szCs w:val="18"/>
          <w:rtl w:val="0"/>
        </w:rPr>
        <w:t xml:space="preserve">Tools: Microsoft Excel  ·  Power BI  |  Dataset: Superstore Global (51,290 rows, 2011–2014)</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color="2e5fa3" w:space="2" w:sz="6" w:val="single"/>
      </w:pBdr>
      <w:tabs>
        <w:tab w:val="right" w:leader="none" w:pos="9026"/>
      </w:tabs>
      <w:spacing w:after="0" w:before="100" w:lineRule="auto"/>
      <w:jc w:val="left"/>
      <w:rPr/>
    </w:pPr>
    <w:r w:rsidDel="00000000" w:rsidR="00000000" w:rsidRPr="00000000">
      <w:rPr>
        <w:rFonts w:ascii="Arial" w:cs="Arial" w:eastAsia="Arial" w:hAnsi="Arial"/>
        <w:color w:val="6c757d"/>
        <w:sz w:val="18"/>
        <w:szCs w:val="18"/>
        <w:rtl w:val="0"/>
      </w:rPr>
      <w:t xml:space="preserve">Confidential — Portfolio ProjectPage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bottom w:color="2e5fa3" w:space="2" w:sz="6" w:val="single"/>
      </w:pBdr>
      <w:tabs>
        <w:tab w:val="right" w:leader="none" w:pos="9026"/>
      </w:tabs>
      <w:spacing w:after="100" w:before="0" w:lineRule="auto"/>
      <w:rPr/>
    </w:pPr>
    <w:r w:rsidDel="00000000" w:rsidR="00000000" w:rsidRPr="00000000">
      <w:rPr>
        <w:rFonts w:ascii="Arial" w:cs="Arial" w:eastAsia="Arial" w:hAnsi="Arial"/>
        <w:color w:val="6c757d"/>
        <w:sz w:val="18"/>
        <w:szCs w:val="18"/>
        <w:rtl w:val="0"/>
      </w:rPr>
      <w:t xml:space="preserve">Superstore Global Sales Analysis  |  2011–2014</w:t>
    </w:r>
    <w:r w:rsidDel="00000000" w:rsidR="00000000" w:rsidRPr="00000000">
      <w:rPr>
        <w:rFonts w:ascii="Arial" w:cs="Arial" w:eastAsia="Arial" w:hAnsi="Arial"/>
        <w:b w:val="1"/>
        <w:bCs w:val="1"/>
        <w:color w:val="2e5fa3"/>
        <w:sz w:val="18"/>
        <w:szCs w:val="18"/>
        <w:rtl w:val="0"/>
      </w:rPr>
      <w:t xml:space="preserve">Data &amp; Business Analytics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