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Arial" w:cs="Arial" w:eastAsia="Arial" w:hAnsi="Arial"/>
          <w:b/>
          <w:bCs/>
          <w:color w:val="1B4F72"/>
          <w:sz w:val="44"/>
          <w:szCs w:val="44"/>
        </w:rPr>
        <w:t xml:space="preserve">TEMPO PORTFOLIO V15</w:t>
      </w:r>
    </w:p>
    <w:p>
      <w:pPr>
        <w:spacing w:after="40" w:before="0"/>
        <w:jc w:val="center"/>
      </w:pPr>
      <w:r>
        <w:rPr>
          <w:rFonts w:ascii="Arial" w:cs="Arial" w:eastAsia="Arial" w:hAnsi="Arial"/>
          <w:color w:val="5DADE2"/>
          <w:sz w:val="28"/>
          <w:szCs w:val="28"/>
        </w:rPr>
        <w:t xml:space="preserve">IFVG + Lumi Engine</w:t>
      </w:r>
    </w:p>
    <w:p>
      <w:pPr>
        <w:pBdr>
          <w:bottom w:val="single" w:color="1B4F72" w:sz="6" w:space="8"/>
        </w:pBdr>
        <w:spacing w:after="40" w:before="60"/>
        <w:jc w:val="center"/>
      </w:pPr>
      <w:r>
        <w:rPr>
          <w:rFonts w:ascii="Arial" w:cs="Arial" w:eastAsia="Arial" w:hAnsi="Arial"/>
          <w:color w:val="777777"/>
          <w:sz w:val="20"/>
          <w:szCs w:val="20"/>
        </w:rPr>
        <w:t xml:space="preserve">Full Year Tick-Level Audit  |  NQ Futures  |  Feb 2025 – Feb 2026</w:t>
      </w:r>
    </w:p>
    <w:p>
      <w:pPr>
        <w:spacing w:after="200" w:before="40"/>
        <w:jc w:val="center"/>
      </w:pPr>
      <w:r>
        <w:rPr>
          <w:rFonts w:ascii="Arial" w:cs="Arial" w:eastAsia="Arial" w:hAnsi="Arial"/>
          <w:color w:val="999999"/>
          <w:sz w:val="18"/>
          <w:szCs w:val="18"/>
        </w:rPr>
        <w:t xml:space="preserve">264 trading days  |  35 news days excluded (FOMC, NFP, CPI)</w:t>
      </w:r>
    </w:p>
    <w:p>
      <w:pPr>
        <w:pStyle w:val="Heading1"/>
        <w:spacing w:after="120" w:before="240"/>
      </w:pPr>
      <w:r>
        <w:rPr>
          <w:rFonts w:ascii="Arial" w:cs="Arial" w:eastAsia="Arial" w:hAnsi="Arial"/>
        </w:rPr>
        <w:t xml:space="preserve">Executive Summary</w:t>
      </w:r>
    </w:p>
    <w:p>
      <w:pPr>
        <w:spacing w:after="80" w:before="80"/>
        <w:jc w:val="left"/>
      </w:pPr>
      <w:r>
        <w:rPr>
          <w:rFonts w:ascii="Arial" w:cs="Arial" w:eastAsia="Arial" w:hAnsi="Arial"/>
          <w:b w:val="false"/>
          <w:bCs w:val="false"/>
          <w:i w:val="false"/>
          <w:iCs w:val="false"/>
          <w:color w:val="333333"/>
          <w:sz w:val="22"/>
          <w:szCs w:val="22"/>
        </w:rPr>
        <w:t xml:space="preserve">The Tempo Portfolio V15 combines three independent NQ futures strategies into a single portfolio, audited tick-by-tick across a full year of Databento data. V15 introduces the Lumi engine based on the @LumiTraders specification with key refinements: removal of the MSS requirement (not in the original spec), FVG-based soft stop for tighter risk management, and source filtering to exclude underperforming M15 HTF levels.</w:t>
      </w:r>
    </w:p>
    <w:p>
      <w:pPr>
        <w:spacing w:after="80" w:before="80"/>
        <w:jc w:val="left"/>
      </w:pPr>
      <w:r>
        <w:rPr>
          <w:rFonts w:ascii="Arial" w:cs="Arial" w:eastAsia="Arial" w:hAnsi="Arial"/>
          <w:b/>
          <w:bCs/>
          <w:color w:val="333333"/>
          <w:sz w:val="22"/>
          <w:szCs w:val="22"/>
        </w:rPr>
        <w:t xml:space="preserve">Recommended configuration: </w:t>
      </w:r>
      <w:r>
        <w:rPr>
          <w:rFonts w:ascii="Arial" w:cs="Arial" w:eastAsia="Arial" w:hAnsi="Arial"/>
          <w:color w:val="333333"/>
          <w:sz w:val="22"/>
          <w:szCs w:val="22"/>
        </w:rPr>
        <w:t xml:space="preserve">IFVG (US M60 + London Fade) + Lumi (H1/M30 sources, FVG soft stop, 2R from FVG). This produces </w:t>
      </w:r>
      <w:r>
        <w:rPr>
          <w:rFonts w:ascii="Arial" w:cs="Arial" w:eastAsia="Arial" w:hAnsi="Arial"/>
          <w:b/>
          <w:bCs/>
          <w:color w:val="196F3D"/>
          <w:sz w:val="22"/>
          <w:szCs w:val="22"/>
        </w:rPr>
        <w:t xml:space="preserve">+19.8 pts/day</w:t>
      </w:r>
      <w:r>
        <w:rPr>
          <w:rFonts w:ascii="Arial" w:cs="Arial" w:eastAsia="Arial" w:hAnsi="Arial"/>
          <w:color w:val="333333"/>
          <w:sz w:val="22"/>
          <w:szCs w:val="22"/>
        </w:rPr>
        <w:t xml:space="preserve"> across 1,208 trades with a max drawdown of 225 pts and a Calmar ratio of 23.1.</w:t>
      </w:r>
    </w:p>
    <w:p>
      <w:pPr>
        <w:pStyle w:val="Heading1"/>
        <w:spacing w:after="120" w:before="240"/>
      </w:pPr>
      <w:r>
        <w:rPr>
          <w:rFonts w:ascii="Arial" w:cs="Arial" w:eastAsia="Arial" w:hAnsi="Arial"/>
        </w:rPr>
        <w:t xml:space="preserve">Portfolio Overview</w:t>
      </w:r>
    </w:p>
    <w:p>
      <w:pPr>
        <w:spacing w:after="160" w:before="80"/>
        <w:jc w:val="left"/>
      </w:pPr>
      <w:r>
        <w:rPr>
          <w:rFonts w:ascii="Arial" w:cs="Arial" w:eastAsia="Arial" w:hAnsi="Arial"/>
          <w:b w:val="false"/>
          <w:bCs w:val="false"/>
          <w:i w:val="false"/>
          <w:iCs w:val="false"/>
          <w:color w:val="333333"/>
          <w:sz w:val="22"/>
          <w:szCs w:val="22"/>
        </w:rPr>
        <w:t xml:space="preserve">Headline numbers for each strategy leg and the combined portfolio.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200"/>
        <w:gridCol w:w="1100"/>
        <w:gridCol w:w="14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Strategy</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Trades</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Pts/Day</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Calmar</w:t>
            </w:r>
          </w:p>
        </w:tc>
        <w:tc>
          <w:tcPr>
            <w:tcW w:type="dxa" w:w="14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DD</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US M60 (IFVG)</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671</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59.9%</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+15.7</w:t>
            </w:r>
          </w:p>
        </w:tc>
        <w:tc>
          <w:tcPr>
            <w:tcW w:type="dxa" w:w="11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40.5</w:t>
            </w:r>
          </w:p>
        </w:tc>
        <w:tc>
          <w:tcPr>
            <w:tcW w:type="dxa" w:w="1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102 pts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London Fade (IFVG)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w:t>
            </w:r>
          </w:p>
        </w:tc>
        <w:tc>
          <w:tcPr>
            <w:tcW w:type="dxa" w:w="1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162 pts</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IFVG Combined</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863</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50.9%</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+18.0</w:t>
            </w:r>
          </w:p>
        </w:tc>
        <w:tc>
          <w:tcPr>
            <w:tcW w:type="dxa" w:w="11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41.7</w:t>
            </w:r>
          </w:p>
        </w:tc>
        <w:tc>
          <w:tcPr>
            <w:tcW w:type="dxa" w:w="1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113 pts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Lumi (all sources)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775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w:t>
            </w:r>
          </w:p>
        </w:tc>
        <w:tc>
          <w:tcPr>
            <w:tcW w:type="dxa" w:w="1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744 pts</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Lumi (H1+M30 only)</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345</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38.3%</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11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1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379 pts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FULL PORTFOLIO (rec.)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1,208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23.1</w:t>
            </w:r>
          </w:p>
        </w:tc>
        <w:tc>
          <w:tcPr>
            <w:tcW w:type="dxa" w:w="1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225 pts</w:t>
            </w:r>
          </w:p>
        </w:tc>
      </w:tr>
    </w:tbl>
    <w:p>
      <w:pPr>
        <w:pStyle w:val="Heading1"/>
        <w:spacing w:after="120" w:before="240"/>
      </w:pPr>
      <w:r>
        <w:rPr>
          <w:rFonts w:ascii="Arial" w:cs="Arial" w:eastAsia="Arial" w:hAnsi="Arial"/>
        </w:rPr>
        <w:t xml:space="preserve">V14 → V15 Changes</w:t>
      </w:r>
    </w:p>
    <w:p>
      <w:pPr>
        <w:pStyle w:val="ListParagraph"/>
        <w:numPr>
          <w:ilvl w:val="0"/>
          <w:numId w:val="2"/>
        </w:numPr>
        <w:spacing w:after="60" w:before="80"/>
      </w:pPr>
      <w:r>
        <w:rPr>
          <w:rFonts w:ascii="Arial" w:cs="Arial" w:eastAsia="Arial" w:hAnsi="Arial"/>
          <w:b/>
          <w:bCs/>
          <w:sz w:val="22"/>
          <w:szCs w:val="22"/>
        </w:rPr>
        <w:t xml:space="preserve">Lumi engine rewritten to @LumiTraders spec: </w:t>
      </w:r>
      <w:r>
        <w:rPr>
          <w:rFonts w:ascii="Arial" w:cs="Arial" w:eastAsia="Arial" w:hAnsi="Arial"/>
          <w:sz w:val="22"/>
          <w:szCs w:val="22"/>
        </w:rPr>
        <w:t xml:space="preserve">HTF levels on M15/M30/H1/H4 (FVG, OB, Liquidity). M30 sweep pairs with M3 OB+FVG; H1 sweep pairs with M5 OB+FVG. Target = 2R measured from FVG gap, not swing distance.</w:t>
      </w:r>
    </w:p>
    <w:p>
      <w:pPr>
        <w:pStyle w:val="ListParagraph"/>
        <w:numPr>
          <w:ilvl w:val="0"/>
          <w:numId w:val="2"/>
        </w:numPr>
        <w:spacing w:after="60" w:before="60"/>
      </w:pPr>
      <w:r>
        <w:rPr>
          <w:rFonts w:ascii="Arial" w:cs="Arial" w:eastAsia="Arial" w:hAnsi="Arial"/>
          <w:b/>
          <w:bCs/>
          <w:sz w:val="22"/>
          <w:szCs w:val="22"/>
        </w:rPr>
        <w:t xml:space="preserve">MSS requirement removed: </w:t>
      </w:r>
      <w:r>
        <w:rPr>
          <w:rFonts w:ascii="Arial" w:cs="Arial" w:eastAsia="Arial" w:hAnsi="Arial"/>
          <w:sz w:val="22"/>
          <w:szCs w:val="22"/>
        </w:rPr>
        <w:t xml:space="preserve">The LumiTraders checklist does not include a Market Structure Shift step. Removing it increased trade count from 605 to 775 without degrading win rate.</w:t>
      </w:r>
    </w:p>
    <w:p>
      <w:pPr>
        <w:pStyle w:val="ListParagraph"/>
        <w:numPr>
          <w:ilvl w:val="0"/>
          <w:numId w:val="2"/>
        </w:numPr>
        <w:spacing w:after="60" w:before="60"/>
      </w:pPr>
      <w:r>
        <w:rPr>
          <w:rFonts w:ascii="Arial" w:cs="Arial" w:eastAsia="Arial" w:hAnsi="Arial"/>
          <w:b/>
          <w:bCs/>
          <w:sz w:val="22"/>
          <w:szCs w:val="22"/>
        </w:rPr>
        <w:t xml:space="preserve">FVG soft stop: </w:t>
      </w:r>
      <w:r>
        <w:rPr>
          <w:rFonts w:ascii="Arial" w:cs="Arial" w:eastAsia="Arial" w:hAnsi="Arial"/>
          <w:sz w:val="22"/>
          <w:szCs w:val="22"/>
        </w:rPr>
        <w:t xml:space="preserve">Stop placed at the opposite FVG edge + 1pt buffer instead of swing extreme. Average risk drops from ~29pt to ~9pt, making the 2R-from-FVG target economically viable (actual R:R ~2:1 vs &lt;1:1 with swing stop).</w:t>
      </w:r>
    </w:p>
    <w:p>
      <w:pPr>
        <w:pStyle w:val="ListParagraph"/>
        <w:numPr>
          <w:ilvl w:val="0"/>
          <w:numId w:val="2"/>
        </w:numPr>
        <w:spacing w:after="60" w:before="60"/>
      </w:pPr>
      <w:r>
        <w:rPr>
          <w:rFonts w:ascii="Arial" w:cs="Arial" w:eastAsia="Arial" w:hAnsi="Arial"/>
          <w:b/>
          <w:bCs/>
          <w:sz w:val="22"/>
          <w:szCs w:val="22"/>
        </w:rPr>
        <w:t xml:space="preserve">Source filter (recommended): </w:t>
      </w:r>
      <w:r>
        <w:rPr>
          <w:rFonts w:ascii="Arial" w:cs="Arial" w:eastAsia="Arial" w:hAnsi="Arial"/>
          <w:sz w:val="22"/>
          <w:szCs w:val="22"/>
        </w:rPr>
        <w:t xml:space="preserve">Exclude M15 HTF levels. M15_SW is the biggest drag (-2.8 pts/day), and M15_FVG/OB are marginal. H1 and M30 sources produce all of the edge.</w:t>
      </w:r>
    </w:p>
    <w:p>
      <w:pPr>
        <w:pStyle w:val="ListParagraph"/>
        <w:numPr>
          <w:ilvl w:val="0"/>
          <w:numId w:val="2"/>
        </w:numPr>
        <w:spacing w:after="60" w:before="60"/>
      </w:pPr>
      <w:r>
        <w:rPr>
          <w:rFonts w:ascii="Arial" w:cs="Arial" w:eastAsia="Arial" w:hAnsi="Arial"/>
          <w:b/>
          <w:bCs/>
          <w:sz w:val="22"/>
          <w:szCs w:val="22"/>
        </w:rPr>
        <w:t xml:space="preserve">HTF FVG size filter parameter added </w:t>
      </w:r>
      <w:r>
        <w:rPr>
          <w:rFonts w:ascii="Arial" w:cs="Arial" w:eastAsia="Arial" w:hAnsi="Arial"/>
          <w:sz w:val="22"/>
          <w:szCs w:val="22"/>
        </w:rPr>
        <w:t xml:space="preserve">(LUMI_HTF_FVG_SIZE_MIN) for global minimum FVG gap across all HTF timeframes.</w:t>
      </w:r>
    </w:p>
    <w:p>
      <w:pPr>
        <w:pStyle w:val="ListParagraph"/>
        <w:numPr>
          <w:ilvl w:val="0"/>
          <w:numId w:val="2"/>
        </w:numPr>
        <w:spacing w:after="120" w:before="60"/>
      </w:pPr>
      <w:r>
        <w:rPr>
          <w:rFonts w:ascii="Arial" w:cs="Arial" w:eastAsia="Arial" w:hAnsi="Arial"/>
          <w:b/>
          <w:bCs/>
          <w:sz w:val="22"/>
          <w:szCs w:val="22"/>
        </w:rPr>
        <w:t xml:space="preserve">News day exclusion: </w:t>
      </w:r>
      <w:r>
        <w:rPr>
          <w:rFonts w:ascii="Arial" w:cs="Arial" w:eastAsia="Arial" w:hAnsi="Arial"/>
          <w:sz w:val="22"/>
          <w:szCs w:val="22"/>
        </w:rPr>
        <w:t xml:space="preserve">35 high-impact days (FOMC decisions, NFP, CPI) removed. 264 trading days remain.</w:t>
      </w:r>
    </w:p>
    <w:p>
      <w:r>
        <w:br w:type="page"/>
      </w:r>
    </w:p>
    <w:p>
      <w:pPr>
        <w:pStyle w:val="Heading1"/>
        <w:spacing w:after="120" w:before="240"/>
      </w:pPr>
      <w:r>
        <w:rPr>
          <w:rFonts w:ascii="Arial" w:cs="Arial" w:eastAsia="Arial" w:hAnsi="Arial"/>
        </w:rPr>
        <w:t xml:space="preserve">Strategy 1: IFVG (Inverse Fair Value Gap)</w:t>
      </w:r>
    </w:p>
    <w:p>
      <w:pPr>
        <w:spacing w:after="80" w:before="80"/>
        <w:jc w:val="left"/>
      </w:pPr>
      <w:r>
        <w:rPr>
          <w:rFonts w:ascii="Arial" w:cs="Arial" w:eastAsia="Arial" w:hAnsi="Arial"/>
          <w:b w:val="false"/>
          <w:bCs w:val="false"/>
          <w:i w:val="false"/>
          <w:iCs w:val="false"/>
          <w:color w:val="333333"/>
          <w:sz w:val="22"/>
          <w:szCs w:val="22"/>
        </w:rPr>
        <w:t xml:space="preserve">The IFVG strategy detects an FVG in the opposite direction of the sweep, then enters when price closes through (inverts) it. Entry at the FVG edge, stop at the opposite IFVG edge, risk = gap size. Two sub-strategies: US M60 sessions and London Fade.</w:t>
      </w:r>
    </w:p>
    <w:p>
      <w:pPr>
        <w:pStyle w:val="Heading2"/>
        <w:spacing w:after="120" w:before="240"/>
      </w:pPr>
      <w:r>
        <w:rPr>
          <w:rFonts w:ascii="Arial" w:cs="Arial" w:eastAsia="Arial" w:hAnsi="Arial"/>
        </w:rPr>
        <w:t xml:space="preserve">US M60 Session Breakdown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9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Session</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Trades</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Pts/Day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DD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NYAM</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271</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69.4%</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+1.23</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+12.7</w:t>
            </w:r>
          </w:p>
        </w:tc>
        <w:tc>
          <w:tcPr>
            <w:tcW w:type="dxa" w:w="1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55 pts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NY Lunch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57.8%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+8.4</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90 pts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NYPM</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253</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51.0%</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+0.77</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+7.1</w:t>
            </w:r>
          </w:p>
        </w:tc>
        <w:tc>
          <w:tcPr>
            <w:tcW w:type="dxa" w:w="1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81 pts</w:t>
            </w:r>
          </w:p>
        </w:tc>
      </w:tr>
    </w:tbl>
    <w:p>
      <w:pPr>
        <w:spacing w:after="80" w:before="120"/>
        <w:jc w:val="left"/>
      </w:pPr>
      <w:r>
        <w:rPr>
          <w:rFonts w:ascii="Arial" w:cs="Arial" w:eastAsia="Arial" w:hAnsi="Arial"/>
          <w:b w:val="false"/>
          <w:bCs w:val="false"/>
          <w:i w:val="false"/>
          <w:iCs w:val="false"/>
          <w:color w:val="333333"/>
          <w:sz w:val="22"/>
          <w:szCs w:val="22"/>
        </w:rPr>
        <w:t xml:space="preserve">All three sessions are profitable. NYAM is the strongest with 69.4% win rate and nearly half the daily PnL.</w:t>
      </w:r>
    </w:p>
    <w:p>
      <w:pPr>
        <w:pStyle w:val="Heading2"/>
        <w:spacing w:after="120" w:before="240"/>
      </w:pPr>
      <w:r>
        <w:rPr>
          <w:rFonts w:ascii="Arial" w:cs="Arial" w:eastAsia="Arial" w:hAnsi="Arial"/>
        </w:rPr>
        <w:t xml:space="preserve">US M60 Source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Trades</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WR</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Pts/Day</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1H Swing Low</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200</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62.5%</w:t>
            </w:r>
          </w:p>
        </w:tc>
        <w:tc>
          <w:tcPr>
            <w:tcW w:type="dxa" w:w="4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1H Swing 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57.4%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+8.7</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London High</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65</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66.2%</w:t>
            </w:r>
          </w:p>
        </w:tc>
        <w:tc>
          <w:tcPr>
            <w:tcW w:type="dxa" w:w="4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London 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+7.5</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Asia High</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67</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53.7%</w:t>
            </w:r>
          </w:p>
        </w:tc>
        <w:tc>
          <w:tcPr>
            <w:tcW w:type="dxa" w:w="4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Asia 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55.7%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r>
    </w:tbl>
    <w:p>
      <w:pPr>
        <w:pStyle w:val="Heading2"/>
        <w:spacing w:after="120" w:before="240"/>
      </w:pPr>
      <w:r>
        <w:rPr>
          <w:rFonts w:ascii="Arial" w:cs="Arial" w:eastAsia="Arial" w:hAnsi="Arial"/>
        </w:rPr>
        <w:t xml:space="preserve">London Fade</w:t>
      </w:r>
    </w:p>
    <w:p>
      <w:pPr>
        <w:spacing w:after="80" w:before="80"/>
        <w:jc w:val="left"/>
      </w:pPr>
      <w:r>
        <w:rPr>
          <w:rFonts w:ascii="Arial" w:cs="Arial" w:eastAsia="Arial" w:hAnsi="Arial"/>
          <w:b w:val="false"/>
          <w:bCs w:val="false"/>
          <w:i w:val="false"/>
          <w:iCs w:val="false"/>
          <w:color w:val="333333"/>
          <w:sz w:val="22"/>
          <w:szCs w:val="22"/>
        </w:rPr>
        <w:t xml:space="preserve">192 trades, 19.3% WR, +2.3 pts/day. The low win rate reflects the fade structure: most trades stop out, but winners run to session end. Average winner is +16.2R, producing positive expectancy despite the low hit rate. London flatten at 8:30 AM ET.</w:t>
      </w:r>
    </w:p>
    <w:p>
      <w:pPr>
        <w:pStyle w:val="Heading1"/>
        <w:spacing w:after="120" w:before="240"/>
      </w:pPr>
      <w:r>
        <w:rPr>
          <w:rFonts w:ascii="Arial" w:cs="Arial" w:eastAsia="Arial" w:hAnsi="Arial"/>
        </w:rPr>
        <w:t xml:space="preserve">Strategy 2: Lumi Engine (@LumiTraders)</w:t>
      </w:r>
    </w:p>
    <w:p>
      <w:pPr>
        <w:spacing w:after="80" w:before="80"/>
        <w:jc w:val="left"/>
      </w:pPr>
      <w:r>
        <w:rPr>
          <w:rFonts w:ascii="Arial" w:cs="Arial" w:eastAsia="Arial" w:hAnsi="Arial"/>
          <w:b w:val="false"/>
          <w:bCs w:val="false"/>
          <w:i w:val="false"/>
          <w:iCs w:val="false"/>
          <w:color w:val="333333"/>
          <w:sz w:val="22"/>
          <w:szCs w:val="22"/>
        </w:rPr>
        <w:t xml:space="preserve">The Lumi engine follows the @LumiTraders specification: identify an HTF level, confirm a sweep on M30 or H1, then look for an OB+FVG chain on the lower timeframe (M3 for M30 sweeps, M5 for H1 sweeps). Entry at the LTF FVG edge, target = 2R measured from the FVG gap, trading hours 8:00 AM–4:00 PM EST.</w:t>
      </w:r>
    </w:p>
    <w:p>
      <w:pPr>
        <w:pStyle w:val="Heading2"/>
        <w:spacing w:after="120" w:before="240"/>
      </w:pPr>
      <w:r>
        <w:rPr>
          <w:rFonts w:ascii="Arial" w:cs="Arial" w:eastAsia="Arial" w:hAnsi="Arial"/>
        </w:rPr>
        <w:t xml:space="preserve">FVG Soft Stop vs Swing Stop</w:t>
      </w:r>
    </w:p>
    <w:p>
      <w:pPr>
        <w:spacing w:after="80" w:before="80"/>
        <w:jc w:val="left"/>
      </w:pPr>
      <w:r>
        <w:rPr>
          <w:rFonts w:ascii="Arial" w:cs="Arial" w:eastAsia="Arial" w:hAnsi="Arial"/>
          <w:b w:val="false"/>
          <w:bCs w:val="false"/>
          <w:i w:val="false"/>
          <w:iCs w:val="false"/>
          <w:color w:val="333333"/>
          <w:sz w:val="22"/>
          <w:szCs w:val="22"/>
        </w:rPr>
        <w:t xml:space="preserve">The original spec calls for SL = Swing High/Low. However, with the 2R-from-FVG target, the economics only work with a tighter stop: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200"/>
        <w:gridCol w:w="1200"/>
        <w:gridCol w:w="21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Stop Type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Trades</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Pts/Day</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Risk</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Issue</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FVG soft stop</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775</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35.7%</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 pts</w:t>
            </w:r>
          </w:p>
        </w:tc>
        <w:tc>
          <w:tcPr>
            <w:tcW w:type="dxa" w:w="2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Tight risk, 2:1 R:R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Swing stop (spec)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 pts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Wide risk, &lt;1:1 R:R</w:t>
            </w:r>
          </w:p>
        </w:tc>
      </w:tr>
    </w:tbl>
    <w:p>
      <w:pPr>
        <w:spacing w:after="80" w:before="120"/>
        <w:jc w:val="left"/>
      </w:pPr>
      <w:r>
        <w:rPr>
          <w:rFonts w:ascii="Arial" w:cs="Arial" w:eastAsia="Arial" w:hAnsi="Arial"/>
          <w:b w:val="false"/>
          <w:bCs w:val="false"/>
          <w:i w:val="false"/>
          <w:iCs w:val="false"/>
          <w:color w:val="333333"/>
          <w:sz w:val="22"/>
          <w:szCs w:val="22"/>
        </w:rPr>
        <w:t xml:space="preserve">FVG soft stop is superior because the target (2R from FVG = 2 × gap size) stays the same regardless of stop location. With a swing stop, the risk balloons to 29pts while the target remains ~16pts, making the actual reward-to-risk less than 1:1.</w:t>
      </w:r>
    </w:p>
    <w:p>
      <w:pPr>
        <w:pStyle w:val="Heading2"/>
        <w:spacing w:after="120" w:before="240"/>
      </w:pPr>
      <w:r>
        <w:rPr>
          <w:rFonts w:ascii="Arial" w:cs="Arial" w:eastAsia="Arial" w:hAnsi="Arial"/>
        </w:rPr>
        <w:t xml:space="preserve">Lumi Source Breakdown (FVG soft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200"/>
        <w:gridCol w:w="4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Trades</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Pts/Day</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Verdict</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M30 FVG</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50.0%</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w:t>
            </w:r>
          </w:p>
        </w:tc>
        <w:tc>
          <w:tcPr>
            <w:tcW w:type="dxa" w:w="4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Strong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H1 SW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H1 FVG</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121</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37.2%</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w:t>
            </w:r>
          </w:p>
        </w:tc>
        <w:tc>
          <w:tcPr>
            <w:tcW w:type="dxa" w:w="4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H1 OB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Marginal</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M30 OB</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47.1%</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w:t>
            </w:r>
          </w:p>
        </w:tc>
        <w:tc>
          <w:tcPr>
            <w:tcW w:type="dxa" w:w="4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Marginal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M15 OB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M15 FVG</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160</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35.0%</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w:t>
            </w:r>
          </w:p>
        </w:tc>
        <w:tc>
          <w:tcPr>
            <w:tcW w:type="dxa" w:w="4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M15 SW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Cut</w:t>
            </w:r>
          </w:p>
        </w:tc>
      </w:tr>
    </w:tbl>
    <w:p>
      <w:pPr>
        <w:pStyle w:val="Heading2"/>
        <w:spacing w:after="120" w:before="240"/>
      </w:pPr>
      <w:r>
        <w:rPr>
          <w:rFonts w:ascii="Arial" w:cs="Arial" w:eastAsia="Arial" w:hAnsi="Arial"/>
        </w:rPr>
        <w:t xml:space="preserve">Source Filter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200"/>
        <w:gridCol w:w="3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Filter</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Trades</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Pts/Day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DD</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ALL</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775</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35.7%</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3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744 pts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 M15_SW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550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496 pts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 M15 (rec.)</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345</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38.3%</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3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379 pts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H1 only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347 pts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FVG only</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307</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37.1%</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w:t>
            </w:r>
          </w:p>
        </w:tc>
        <w:tc>
          <w:tcPr>
            <w:tcW w:type="dxa" w:w="3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279 pts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 SW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264 pts</w:t>
            </w:r>
          </w:p>
        </w:tc>
      </w:tr>
    </w:tbl>
    <w:p>
      <w:pPr>
        <w:spacing w:after="80" w:before="120"/>
        <w:jc w:val="left"/>
      </w:pPr>
      <w:r>
        <w:rPr>
          <w:rFonts w:ascii="Arial" w:cs="Arial" w:eastAsia="Arial" w:hAnsi="Arial"/>
          <w:b w:val="false"/>
          <w:bCs w:val="false"/>
          <w:i w:val="false"/>
          <w:iCs w:val="false"/>
          <w:color w:val="333333"/>
          <w:sz w:val="22"/>
          <w:szCs w:val="22"/>
        </w:rPr>
        <w:t xml:space="preserve">Removing all M15 sources flips Lumi from -1.2 to +1.8 pts/day. The M15 timeframe generates too many false sweeps on noise. H1+M30 sources contain the real institutional flow.</w:t>
      </w:r>
    </w:p>
    <w:p>
      <w:pPr>
        <w:pStyle w:val="Heading2"/>
        <w:spacing w:after="120" w:before="240"/>
      </w:pPr>
      <w:r>
        <w:rPr>
          <w:rFonts w:ascii="Arial" w:cs="Arial" w:eastAsia="Arial" w:hAnsi="Arial"/>
        </w:rPr>
        <w:t xml:space="preserve">MFE-Based R Target Analysis</w:t>
      </w:r>
    </w:p>
    <w:p>
      <w:pPr>
        <w:spacing w:after="80" w:before="80"/>
        <w:jc w:val="left"/>
      </w:pPr>
      <w:r>
        <w:rPr>
          <w:rFonts w:ascii="Arial" w:cs="Arial" w:eastAsia="Arial" w:hAnsi="Arial"/>
          <w:b w:val="false"/>
          <w:bCs w:val="false"/>
          <w:i w:val="false"/>
          <w:iCs w:val="false"/>
          <w:color w:val="333333"/>
          <w:sz w:val="22"/>
          <w:szCs w:val="22"/>
        </w:rPr>
        <w:t xml:space="preserve">Using maximum favorable excursion data from all Lumi trades, we can estimate what different R targets would yield. The 2.0R target is optimal—higher targets see a dramatic drop in hit rate because most FVG gaps are 6–10pts and MFE rarely exceeds 2×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 Target</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WR (No M15)</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E[R]</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 Pts/Day</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1.5R</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+0.028</w:t>
            </w:r>
          </w:p>
        </w:tc>
        <w:tc>
          <w:tcPr>
            <w:tcW w:type="dxa" w:w="2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2.0R (current)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+0.064</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2.5R</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7.2%</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-0.817</w:t>
            </w:r>
          </w:p>
        </w:tc>
        <w:tc>
          <w:tcPr>
            <w:tcW w:type="dxa" w:w="29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-0.839</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-12.4</w:t>
            </w:r>
          </w:p>
        </w:tc>
      </w:tr>
    </w:tbl>
    <w:p>
      <w:pPr>
        <w:spacing w:after="80" w:before="120"/>
        <w:jc w:val="left"/>
      </w:pPr>
      <w:r>
        <w:rPr>
          <w:rFonts w:ascii="Arial" w:cs="Arial" w:eastAsia="Arial" w:hAnsi="Arial"/>
          <w:b w:val="false"/>
          <w:bCs w:val="false"/>
          <w:i w:val="false"/>
          <w:iCs w:val="false"/>
          <w:color w:val="333333"/>
          <w:sz w:val="22"/>
          <w:szCs w:val="22"/>
        </w:rPr>
        <w:t xml:space="preserve">2.0R is the sweet spot. The win rate cliff between 2.0R and 2.5R is dramatic (37.7% to 7.2%), confirming that the @LumiTraders 2R target is well-calibrated.</w:t>
      </w:r>
    </w:p>
    <w:p>
      <w:r>
        <w:br w:type="page"/>
      </w:r>
    </w:p>
    <w:p>
      <w:pPr>
        <w:pStyle w:val="Heading1"/>
        <w:spacing w:after="120" w:before="240"/>
      </w:pPr>
      <w:r>
        <w:rPr>
          <w:rFonts w:ascii="Arial" w:cs="Arial" w:eastAsia="Arial" w:hAnsi="Arial"/>
        </w:rPr>
        <w:t xml:space="preserve">Combined Portfolio (Recommended)</w:t>
      </w:r>
    </w:p>
    <w:p>
      <w:pPr>
        <w:spacing w:after="80" w:before="80"/>
        <w:jc w:val="left"/>
      </w:pPr>
      <w:r>
        <w:rPr>
          <w:rFonts w:ascii="Arial" w:cs="Arial" w:eastAsia="Arial" w:hAnsi="Arial"/>
          <w:b w:val="false"/>
          <w:bCs w:val="false"/>
          <w:i w:val="false"/>
          <w:iCs w:val="false"/>
          <w:color w:val="333333"/>
          <w:sz w:val="22"/>
          <w:szCs w:val="22"/>
        </w:rPr>
        <w:t xml:space="preserve">IFVG (US M60 + London Fade) + Lumi (H1+M30 sources, FVG soft stop, 2R from FVG).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IFVG</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Lumi (H1+M30)</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Combined</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Trades</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863</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345</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1,208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Pts/Day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+19.8</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Max DD</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113 pts</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379 pts</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225 pts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Calmar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23.1</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Daily Correlation</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0.131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Positive Days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Sharpe (daily)</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Best Day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+396 pts</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Worst Day</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-119 pts</w:t>
            </w:r>
          </w:p>
        </w:tc>
      </w:tr>
    </w:tbl>
    <w:p>
      <w:pPr>
        <w:spacing w:after="80" w:before="160"/>
        <w:jc w:val="left"/>
      </w:pPr>
      <w:r>
        <w:rPr>
          <w:rFonts w:ascii="Arial" w:cs="Arial" w:eastAsia="Arial" w:hAnsi="Arial"/>
          <w:b w:val="false"/>
          <w:bCs w:val="false"/>
          <w:i w:val="false"/>
          <w:iCs w:val="false"/>
          <w:color w:val="333333"/>
          <w:sz w:val="22"/>
          <w:szCs w:val="22"/>
        </w:rPr>
        <w:t xml:space="preserve">The 0.131 daily correlation means the two strategies are nearly uncorrelated, providing genuine diversification. On days when IFVG draws down, Lumi often picks up the slack and vice versa.</w:t>
      </w:r>
    </w:p>
    <w:p>
      <w:pPr>
        <w:pStyle w:val="Heading1"/>
        <w:spacing w:after="120" w:before="240"/>
      </w:pPr>
      <w:r>
        <w:rPr>
          <w:rFonts w:ascii="Arial" w:cs="Arial" w:eastAsia="Arial" w:hAnsi="Arial"/>
        </w:rPr>
        <w:t xml:space="preserve">Key Parameters</w:t>
      </w:r>
    </w:p>
    <w:p>
      <w:pPr>
        <w:pStyle w:val="Heading3"/>
        <w:spacing w:after="120" w:before="240"/>
      </w:pPr>
      <w:r>
        <w:rPr>
          <w:rFonts w:ascii="Arial" w:cs="Arial" w:eastAsia="Arial" w:hAnsi="Arial"/>
        </w:rPr>
        <w:t xml:space="preserve">IFVG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Entry hours</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3:00 AM – 3:30 PM ET</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London through NYPM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FVG gap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3–20 pts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Min/max IFVG gap size</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Risk</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3–20 pts</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gap size (IFVG edge stop)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TP1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 pts (US) / 12 pts (London)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Partial at TP1, runner to TP2</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TP2</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 pts</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US sessions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B/E trigger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3R (US) / TP1 hit (London)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Hard stop at entry after trigger</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Flatten</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3:55 PM ET (US) / 8:30 AM ET (London)</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Session-end flat</w:t>
            </w:r>
          </w:p>
        </w:tc>
      </w:tr>
    </w:tbl>
    <w:p>
      <w:pPr>
        <w:pStyle w:val="Heading3"/>
        <w:spacing w:after="120" w:before="240"/>
      </w:pPr>
      <w:r>
        <w:rPr>
          <w:rFonts w:ascii="Arial" w:cs="Arial" w:eastAsia="Arial" w:hAnsi="Arial"/>
        </w:rPr>
        <w:t xml:space="preserve">Lumi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HTF levels</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M30, H1 (rec.)</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FVG + OB + Swing/Liquidity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Sweep TFs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M30 → M3, H1 → M5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@LumiTraders pairing</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LTF FVG gap</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2–40 pts</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Entry gap filter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OB min body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 pts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LTF order block filter</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Stop</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FVG edge + 1pt buffer</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FVG soft stop (not swing)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Target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2R from FVG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 × gap size from entry</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Max trades/day</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Per sweep TF config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Hours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8:00 AM – 4:00 PM EST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@LumiTraders spec</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MSS</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Disabled</w:t>
            </w:r>
          </w:p>
        </w:tc>
        <w:tc>
          <w:tcPr>
            <w:tcW w:type="dxa" w:w="4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Not in LumiTraders checklist</w:t>
            </w:r>
          </w:p>
        </w:tc>
      </w:tr>
    </w:tbl>
    <w:p>
      <w:pPr>
        <w:pStyle w:val="Heading1"/>
        <w:spacing w:after="120" w:before="240"/>
      </w:pPr>
      <w:r>
        <w:rPr>
          <w:rFonts w:ascii="Arial" w:cs="Arial" w:eastAsia="Arial" w:hAnsi="Arial"/>
        </w:rPr>
        <w:t xml:space="preserve">Risk Notes</w:t>
      </w:r>
    </w:p>
    <w:p>
      <w:pPr>
        <w:pStyle w:val="ListParagraph"/>
        <w:numPr>
          <w:ilvl w:val="0"/>
          <w:numId w:val="2"/>
        </w:numPr>
        <w:spacing w:after="60" w:before="80"/>
      </w:pPr>
      <w:r>
        <w:rPr>
          <w:rFonts w:ascii="Arial" w:cs="Arial" w:eastAsia="Arial" w:hAnsi="Arial"/>
          <w:b/>
          <w:bCs/>
          <w:sz w:val="22"/>
          <w:szCs w:val="22"/>
        </w:rPr>
        <w:t xml:space="preserve">Lookahead bias: </w:t>
      </w:r>
      <w:r>
        <w:rPr>
          <w:rFonts w:ascii="Arial" w:cs="Arial" w:eastAsia="Arial" w:hAnsi="Arial"/>
          <w:sz w:val="22"/>
          <w:szCs w:val="22"/>
        </w:rPr>
        <w:t xml:space="preserve">All signals detected on completed bars only. Trade simulation on raw ticks with realistic fill assumptions. No future data accessed.</w:t>
      </w:r>
    </w:p>
    <w:p>
      <w:pPr>
        <w:pStyle w:val="ListParagraph"/>
        <w:numPr>
          <w:ilvl w:val="0"/>
          <w:numId w:val="2"/>
        </w:numPr>
        <w:spacing w:after="60" w:before="60"/>
      </w:pPr>
      <w:r>
        <w:rPr>
          <w:rFonts w:ascii="Arial" w:cs="Arial" w:eastAsia="Arial" w:hAnsi="Arial"/>
          <w:b/>
          <w:bCs/>
          <w:sz w:val="22"/>
          <w:szCs w:val="22"/>
        </w:rPr>
        <w:t xml:space="preserve">Slippage/commission: </w:t>
      </w:r>
      <w:r>
        <w:rPr>
          <w:rFonts w:ascii="Arial" w:cs="Arial" w:eastAsia="Arial" w:hAnsi="Arial"/>
          <w:sz w:val="22"/>
          <w:szCs w:val="22"/>
        </w:rPr>
        <w:t xml:space="preserve">0.50 pts per trade deducted. Limit entries assumed (FVG edge). Real slippage on NQ may be higher in volatile conditions.</w:t>
      </w:r>
    </w:p>
    <w:p>
      <w:pPr>
        <w:pStyle w:val="ListParagraph"/>
        <w:numPr>
          <w:ilvl w:val="0"/>
          <w:numId w:val="2"/>
        </w:numPr>
        <w:spacing w:after="60" w:before="60"/>
      </w:pPr>
      <w:r>
        <w:rPr>
          <w:rFonts w:ascii="Arial" w:cs="Arial" w:eastAsia="Arial" w:hAnsi="Arial"/>
          <w:b/>
          <w:bCs/>
          <w:sz w:val="22"/>
          <w:szCs w:val="22"/>
        </w:rPr>
        <w:t xml:space="preserve">IFVG win rate: </w:t>
      </w:r>
      <w:r>
        <w:rPr>
          <w:rFonts w:ascii="Arial" w:cs="Arial" w:eastAsia="Arial" w:hAnsi="Arial"/>
          <w:sz w:val="22"/>
          <w:szCs w:val="22"/>
        </w:rPr>
        <w:t xml:space="preserve">Audit shows 59.9% on US sessions vs. 72–80% expected. The gap is partly explained by the soft stop mechanism (close-based) and different bar timeframe entry detection.</w:t>
      </w:r>
    </w:p>
    <w:p>
      <w:pPr>
        <w:pStyle w:val="ListParagraph"/>
        <w:numPr>
          <w:ilvl w:val="0"/>
          <w:numId w:val="2"/>
        </w:numPr>
        <w:spacing w:after="60" w:before="60"/>
      </w:pPr>
      <w:r>
        <w:rPr>
          <w:rFonts w:ascii="Arial" w:cs="Arial" w:eastAsia="Arial" w:hAnsi="Arial"/>
          <w:b/>
          <w:bCs/>
          <w:sz w:val="22"/>
          <w:szCs w:val="22"/>
        </w:rPr>
        <w:t xml:space="preserve">Lumi is marginal: </w:t>
      </w:r>
      <w:r>
        <w:rPr>
          <w:rFonts w:ascii="Arial" w:cs="Arial" w:eastAsia="Arial" w:hAnsi="Arial"/>
          <w:sz w:val="22"/>
          <w:szCs w:val="22"/>
        </w:rPr>
        <w:t xml:space="preserve">+1.8 pts/day is small relative to IFVG. It adds diversification value (low correlation) but should be monitored closely. The FVG soft stop is a deviation from the published spec.</w:t>
      </w:r>
    </w:p>
    <w:p>
      <w:pPr>
        <w:pStyle w:val="ListParagraph"/>
        <w:numPr>
          <w:ilvl w:val="0"/>
          <w:numId w:val="2"/>
        </w:numPr>
        <w:spacing w:after="120" w:before="60"/>
      </w:pPr>
      <w:r>
        <w:rPr>
          <w:rFonts w:ascii="Arial" w:cs="Arial" w:eastAsia="Arial" w:hAnsi="Arial"/>
          <w:b/>
          <w:bCs/>
          <w:sz w:val="22"/>
          <w:szCs w:val="22"/>
        </w:rPr>
        <w:t xml:space="preserve">Contract rollover: </w:t>
      </w:r>
      <w:r>
        <w:rPr>
          <w:rFonts w:ascii="Arial" w:cs="Arial" w:eastAsia="Arial" w:hAnsi="Arial"/>
          <w:sz w:val="22"/>
          <w:szCs w:val="22"/>
        </w:rPr>
        <w:t xml:space="preserve">Quarterly NQ rollovers handled by clearing the 1H bar accumulator. 4 rollovers in audit period.</w:t>
      </w:r>
    </w:p>
    <w:p>
      <w:pPr>
        <w:pStyle w:val="Heading1"/>
        <w:spacing w:after="120" w:before="240"/>
      </w:pPr>
      <w:r>
        <w:rPr>
          <w:rFonts w:ascii="Arial" w:cs="Arial" w:eastAsia="Arial" w:hAnsi="Arial"/>
        </w:rPr>
        <w:t xml:space="preserve">Next Steps</w:t>
      </w:r>
    </w:p>
    <w:p>
      <w:pPr>
        <w:pStyle w:val="ListParagraph"/>
        <w:numPr>
          <w:ilvl w:val="0"/>
          <w:numId w:val="2"/>
        </w:numPr>
        <w:spacing w:after="60" w:before="80"/>
      </w:pPr>
      <w:r>
        <w:rPr>
          <w:rFonts w:ascii="Arial" w:cs="Arial" w:eastAsia="Arial" w:hAnsi="Arial"/>
          <w:sz w:val="22"/>
          <w:szCs w:val="22"/>
        </w:rPr>
        <w:t xml:space="preserve">Validate Lumi with forward test data from NinjaTrader live trades.</w:t>
      </w:r>
    </w:p>
    <w:p>
      <w:pPr>
        <w:pStyle w:val="ListParagraph"/>
        <w:numPr>
          <w:ilvl w:val="0"/>
          <w:numId w:val="2"/>
        </w:numPr>
        <w:spacing w:after="60" w:before="60"/>
      </w:pPr>
      <w:r>
        <w:rPr>
          <w:rFonts w:ascii="Arial" w:cs="Arial" w:eastAsia="Arial" w:hAnsi="Arial"/>
          <w:sz w:val="22"/>
          <w:szCs w:val="22"/>
        </w:rPr>
        <w:t xml:space="preserve">Test HTF FVG size filter (LUMI_HTF_FVG_SIZE_MIN) to see if requiring larger HTF gaps improves signal quality.</w:t>
      </w:r>
    </w:p>
    <w:p>
      <w:pPr>
        <w:pStyle w:val="ListParagraph"/>
        <w:numPr>
          <w:ilvl w:val="0"/>
          <w:numId w:val="2"/>
        </w:numPr>
        <w:spacing w:after="60" w:before="60"/>
      </w:pPr>
      <w:r>
        <w:rPr>
          <w:rFonts w:ascii="Arial" w:cs="Arial" w:eastAsia="Arial" w:hAnsi="Arial"/>
          <w:sz w:val="22"/>
          <w:szCs w:val="22"/>
        </w:rPr>
        <w:t xml:space="preserve">Investigate the 2.0R → 2.5R cliff in MFE data to understand if this is a structural feature of NQ or a limitation of the entry timing.</w:t>
      </w:r>
    </w:p>
    <w:p>
      <w:pPr>
        <w:pStyle w:val="ListParagraph"/>
        <w:numPr>
          <w:ilvl w:val="0"/>
          <w:numId w:val="2"/>
        </w:numPr>
        <w:spacing w:after="120" w:before="60"/>
      </w:pPr>
      <w:r>
        <w:rPr>
          <w:rFonts w:ascii="Arial" w:cs="Arial" w:eastAsia="Arial" w:hAnsi="Arial"/>
          <w:sz w:val="22"/>
          <w:szCs w:val="22"/>
        </w:rPr>
        <w:t xml:space="preserve">Consider time-of-day filtering for Lumi (strong zones: 8–9 AM, 10–11 AM, 1:30–2:30 PM per @LumiTraders).</w:t>
      </w:r>
    </w:p>
    <w:p>
      <w:pPr>
        <w:pBdr>
          <w:top w:val="single" w:color="1B4F72" w:sz="4" w:space="8"/>
        </w:pBdr>
        <w:spacing w:after="0" w:before="300"/>
        <w:jc w:val="center"/>
      </w:pPr>
      <w:r>
        <w:rPr>
          <w:rFonts w:ascii="Arial" w:cs="Arial" w:eastAsia="Arial" w:hAnsi="Arial"/>
          <w:i/>
          <w:iCs/>
          <w:color w:val="999999"/>
          <w:sz w:val="16"/>
          <w:szCs w:val="16"/>
        </w:rPr>
        <w:t xml:space="preserve">Generated: March 21, 2026  |  Data: Databento NQ Trades  |  264 trading days</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i/>
        <w:iCs/>
        <w:color w:val="999999"/>
        <w:sz w:val="18"/>
        <w:szCs w:val="18"/>
      </w:rPr>
      <w:t xml:space="preserve">Tempo Portfolio V15</w:t>
    </w:r>
    <w:r>
      <w:rPr>
        <w:rFonts w:ascii="Arial" w:cs="Arial" w:eastAsia="Arial" w:hAnsi="Arial"/>
        <w:color w:val="CCCCCC"/>
        <w:sz w:val="18"/>
        <w:szCs w:val="18"/>
      </w:rPr>
      <w:t xml:space="preserve">  |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2026-03-21T18:46:08.604Z</dcterms:created>
  <dcterms:modified xsi:type="dcterms:W3CDTF">2026-03-21T18:46:08.605Z</dcterms:modified>
</cp:coreProperties>
</file>

<file path=docProps/custom.xml><?xml version="1.0" encoding="utf-8"?>
<Properties xmlns="http://schemas.openxmlformats.org/officeDocument/2006/custom-properties" xmlns:vt="http://schemas.openxmlformats.org/officeDocument/2006/docPropsVTypes"/>
</file>