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IFVG Multi-Timeframe Cascade Strategy</w:t>
      </w:r>
    </w:p>
    <w:p>
      <w:pPr>
        <w:spacing w:after="100"/>
        <w:jc w:val="center"/>
      </w:pPr>
      <w:r>
        <w:rPr>
          <w:rFonts w:ascii="Arial" w:cs="Arial" w:eastAsia="Arial" w:hAnsi="Arial"/>
          <w:sz w:val="28"/>
          <w:szCs w:val="28"/>
        </w:rPr>
        <w:t xml:space="preserve">Full-Year Backtest Results &amp; Verification Memo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March 6, 2025 – February 11, 2026  |  244 Trading Days  |  NQ Futures (Tick Data)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Strategy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IFVG (Inverse Fair Value Gap) Multi-Timeframe Cascade identifies liquidity sweeps of structural levels on 15-minute charts, then enters on 15-second timeframe FVG reactions with tight risk. This memo presents fully verified results from 244 trading days of NQ futures tick data.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parameters: HTF = 15M, LTF = 15S, Death Candle = 6pts, Min Displacement = 3pts, Sweep Min = 1.5pts, Min Reaction Quality = 3, Entry Window = 80 bars. Slippage: 0.5pts/side (market only). Commission: 0.5pts RT (all). Soft stop = bar-close-only exit (average overshoot ~1.6x nominal risk).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Code Audit &amp; Look-Ahead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line-by-line audit of market_vs_limit_compare.py (916 lines) was performed. Two look-ahead issues were found and fixed: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1 (Fixed, Moderate Impact): </w:t>
      </w:r>
      <w:r>
        <w:rPr>
          <w:rFonts w:ascii="Arial" w:cs="Arial" w:eastAsia="Arial" w:hAnsi="Arial"/>
          <w:sz w:val="22"/>
          <w:szCs w:val="22"/>
        </w:rPr>
        <w:t xml:space="preserve">Swing level detection for 1H and 15M bars used guard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h1_times[i+2] &gt; cur_utc</w:t>
      </w:r>
      <w:r>
        <w:rPr>
          <w:rFonts w:ascii="Arial" w:cs="Arial" w:eastAsia="Arial" w:hAnsi="Arial"/>
          <w:sz w:val="22"/>
          <w:szCs w:val="22"/>
        </w:rPr>
        <w:t xml:space="preserve"> which checks if bar i+2 has STARTED but not if it is COMPLETE. Since nq_bars_1h_accum contains today’s full-day bars with final OHLC, an incomplete bar’s future high/low could be used for swing confirmation. Fixed to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h1_times[i+3] &gt; cur_utc</w:t>
      </w:r>
      <w:r>
        <w:rPr>
          <w:rFonts w:ascii="Arial" w:cs="Arial" w:eastAsia="Arial" w:hAnsi="Arial"/>
          <w:sz w:val="22"/>
          <w:szCs w:val="22"/>
        </w:rPr>
        <w:t xml:space="preserve"> ensuring bar i+2 is fully closed. Same fix applied to 15M swings.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2 (Not Fixed, Negligible): </w:t>
      </w:r>
      <w:r>
        <w:rPr>
          <w:rFonts w:ascii="Arial" w:cs="Arial" w:eastAsia="Arial" w:hAnsi="Arial"/>
          <w:sz w:val="22"/>
          <w:szCs w:val="22"/>
        </w:rPr>
        <w:t xml:space="preserve">1-minute bar OHLC at the boundary includes the full minute’s final values rather than partial values at the moment of evaluation. Impact is at most 1 minute of data for range levels (PDH, London, etc.) which are already complete by the time RTH sweeps occur.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Verified clean: </w:t>
      </w:r>
      <w:r>
        <w:rPr>
          <w:rFonts w:ascii="Arial" w:cs="Arial" w:eastAsia="Arial" w:hAnsi="Arial"/>
          <w:sz w:val="22"/>
          <w:szCs w:val="22"/>
        </w:rPr>
        <w:t xml:space="preserve">FVG detection uses bars bi-2, bi-1, bi (all complete) with entry at bi+1 open. Trade simulation starts at first tick after bar bi closes. Soft stop and emergency stop logic is symmetric for longs and shorts. Commission and slippage applied consistently. Prior-week high/low uses previous week only. Level caching is conservative (misses new levels, does not add future ones).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All results below use the corrected code.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R-Target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Fixed filter: No Lunch + Risk ≤ 15pts + Gap ≤ 4pts + Both Directions. Same 1,163 market signals across all R-targets; LIMIT_MID fills vary by R-target since target distance affects which limit fills become winners.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Table 1: R-Target Sweep (NL + Risk≤15 + Gap≤4 + Both Dirs)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50"/>
        <w:gridCol w:w="500"/>
        <w:gridCol w:w="550"/>
        <w:gridCol w:w="550"/>
        <w:gridCol w:w="650"/>
        <w:gridCol w:w="700"/>
        <w:gridCol w:w="650"/>
        <w:gridCol w:w="750"/>
        <w:gridCol w:w="600"/>
        <w:gridCol w:w="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R-Target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Fills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T/d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WR%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Pts/d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$/day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MaxDD(R)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H1 WR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H2 WR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MKT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1163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4.77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49.4%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-3.2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-$63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-0.495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272.4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55.1%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44.8%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4.27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39.1%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+$104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+0.612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111.4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28.4%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MKT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1163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4.77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40.2%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1.06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+$43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+0.062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198.6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42.1%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38.7%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4.27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29.8%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1.58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+7.8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+$157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+0.948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153.3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40.3%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20.1%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sz w:val="22"/>
          <w:szCs w:val="22"/>
        </w:rPr>
        <w:t xml:space="preserve">Key findings: R1.5 and R2.0 MARKET are net losers or breakeven. R3.0+ is where positive expectancy emerges for market orders. LIMIT_MID is profitable at every R-target from R1.5 onward due to entry improvement. R4.0 LIMIT_MID produces the highest R/day (+1.75) with the lowest MaxDD (119R), making it the best risk-adjusted R-target for limit orders.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Filter &amp; Direction Analysis (R3.0)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Table 2: Filter &amp; Direction Comparison at R3.0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"/>
        <w:gridCol w:w="500"/>
        <w:gridCol w:w="550"/>
        <w:gridCol w:w="500"/>
        <w:gridCol w:w="650"/>
        <w:gridCol w:w="650"/>
        <w:gridCol w:w="650"/>
        <w:gridCol w:w="600"/>
        <w:gridCol w:w="600"/>
        <w:gridCol w:w="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Fills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T/d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Pts/d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$/day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MaxDD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H1 WR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H2 WR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R≤15 G≤4 MKT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1163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4.77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39.0%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1.23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+7.9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+$159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+0.759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189.6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41.6%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R≤15 G≤4 LM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4.27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1.56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+8.1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+$161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+1.145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132.2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R≤10 G≤4 MKT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40.8%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1.17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+3.2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+$64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+0.449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153.2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44.7%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R≤10 G≤4 LM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32.7%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1.64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+6.1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+$121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+1.069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80.3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38.3%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R≤10 G≤2 MKT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1.46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+2.4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+$49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+0.565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63.0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53.0%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R≤10 G≤2 LM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1.09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43.8%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2.46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+3.7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+$74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+0.829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47.3%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R≤10 G≤4 MKT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51.0%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1.77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+4.7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+$94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+0.724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88.9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46.1%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56.3%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R≤10 G≤4 LM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41.2%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+4.2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+$84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+0.766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38.6%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44.2%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R≤10 G≤2 LM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57.8%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4.45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+3.4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+$68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+0.558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54.4%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62.5%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R≤15 G≤4 MKT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2.79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36.4%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+4.1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+$81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+0.072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228.3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45.7%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29.1%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R≤15 G≤4 LM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2.54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26.9%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+6.3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+$125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+0.590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137.8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41.2%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14.3%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Unfiltered MKT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11.61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31.3%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-29.6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-$593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-1.342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649.3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32.6%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30.3%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sz w:val="22"/>
          <w:szCs w:val="22"/>
        </w:rPr>
        <w:t xml:space="preserve">Key findings: (1) Unfiltered is a disaster (−$593/day). Filters are essential. (2) Shorts outperform longs in this uptrending year — sweeps of structural highs that fail are reliable short entries. (3) Tighter gap filter (G≤2 vs G≤4) dramatically cuts MaxDD while retaining most edge. (4) LIMIT_MID consistently produces better Calmar ratios than MARKET through lower drawdowns, despite lower fill rates.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Cross-Validation: H1 (Mar–Aug) vs H2 (Sep–Feb)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important test of any backtest is whether H1 performance predicts H2. Most configs show H1 outperformance (March–April was an extreme hot streak with 70%+ win rates). However, one class of configs shows stability or improvement in H2: shorts with tight filters.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Table 3: H1 vs H2 Cross-Validation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600"/>
        <w:gridCol w:w="600"/>
        <w:gridCol w:w="600"/>
        <w:gridCol w:w="700"/>
        <w:gridCol w:w="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R≤10 G≤2 R3 LM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57.8%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+0.558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54.4%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4.64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+0.636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62.5%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+0.476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R≤10 G≤2 R2 LM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52.8%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+0.655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57.5%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+1.008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44.9%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+0.279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R≤10 G≤2 R3 LM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43.8%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+0.829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47.3%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+1.322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+0.303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R≤15 G≤4 R3 MKT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1163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39.0%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+0.759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189.6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41.6%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+1.337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189.6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+0.143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160.8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sz w:val="22"/>
          <w:szCs w:val="22"/>
        </w:rPr>
        <w:t xml:space="preserve">The standout config is Short R≤10 G≤2 R3 LIMIT_MID: H1 WR = 54.4%, H2 WR = 62.5%. This is the ONLY top-10 config where H2 win rate exceeds H1. All other configs show 10–25 percentage point WR decay from H1 to H2, suggesting the March–April regime was unusually favorable.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Monthly P&amp;L Breakdown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Monthly breakdown for the top 3 configs shows the regime dependence clearly. March/April and July are consistently the best months; May, August, December, and January are consistently bad.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Table 4: Monthly P&amp;L (pts) and Win Rate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Jun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Jul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Aug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Sep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Oct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Nov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Jan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 R10G2 R3 LM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+182 (100%)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+49 (75%)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-9 (0%)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+17 (46%)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+269 (83%)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-20 (0%)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+27 (67%)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+62 (59%)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+79 (88%)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 (17%)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 (0%)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+171 (88%)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 R10G2 R2 LM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+96 (73%)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+106 (74%)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-9 (0%)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-20 (46%)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+235 (56%)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+184 (65%)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 (25%)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+12 (47%)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+73 (70%)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 (17%)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-66 (11%)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+112 (88%)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 R15G4 R3 MKT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+1180 (70%)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+846 (70%)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-333 (29%)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-766 (6%)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+663 (57%)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-433 (18%)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+752 (50%)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+415 (43%)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-580 (24%)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+580 (55%)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-435 (27%)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+48 (47%)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Honest Assessment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edge is real but thin and regime-dependent.</w:t>
      </w:r>
      <w:r>
        <w:rPr>
          <w:rFonts w:ascii="Arial" w:cs="Arial" w:eastAsia="Arial" w:hAnsi="Arial"/>
          <w:sz w:val="22"/>
          <w:szCs w:val="22"/>
        </w:rPr>
        <w:t xml:space="preserve"> The unfiltered strategy loses money. Only with aggressive filtering (no lunch, risk ≤ 10–15pts, gap ≤ 2–4pts) does a positive edge emerge, and even then it relies heavily on 3–4 strong months per year to overcome 3–4 losing months.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earlier 26-day analysis showing 60–67% win rates was based on the March–April hot streak only (default max_days=30 in the script). Full-year reality is 39–53% WR depending on filters. This is a critical lesson about sample bias.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works: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Shorts with tight filters (R≤10, G≤2) are the most consistent edge — stable across H1 and H2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LIMIT_MID entry improves risk-adjusted returns through lower drawdowns and better entry prices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Higher R-targets (R3.0–R4.0) produce better expectancy despite lower win rates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The lunch session filter removes ~25 garbage trades with ~20% WR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doesn’t work: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Longs are unreliable in this uptrending year (sweeps of lows are real breakdowns, not fakeouts)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Wide risk trades (&gt;15pts) are net losers regardless of direction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Any config without filters is a net loser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configs for live testing: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Primary: Short-only, R3.0, Risk≤10, Gap≤2, LIMIT_MID — 57.8% WR, PF 4.45, +$68/day, 22.6R MaxDD, H2-stable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Secondary: Both dirs, R2.0, Risk≤10, Gap≤2, LIMIT_MID — 52.8% WR, PF 2.39, +$59/day, 23.2R MaxDD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Aggressive: Both dirs, R3.0, Risk≤15, Gap≤4, MARKET — 39.0% WR, PF 1.23, +$159/day, 189.6R MaxDD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line: </w:t>
      </w:r>
      <w:r>
        <w:rPr>
          <w:rFonts w:ascii="Arial" w:cs="Arial" w:eastAsia="Arial" w:hAnsi="Arial"/>
          <w:sz w:val="22"/>
          <w:szCs w:val="22"/>
        </w:rPr>
        <w:t xml:space="preserve">This strategy can make money with disciplined filtering, but expect 3–4 losing months per year, drawdowns of 20–40R, and a win rate around 40–58% depending on config. The $59–$159/day numbers are averages that mask significant monthly variance. Do not expect the 60%+ win rates from the original 26-day sample — those were a hot streak.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IFVG MTF Cascade — Full-Year Verification Memo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2026-03-28T03:55:02.092Z</dcterms:created>
  <dcterms:modified xsi:type="dcterms:W3CDTF">2026-03-28T03:55:02.092Z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