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44"/>
          <w:szCs w:val="44"/>
        </w:rPr>
        <w:t xml:space="preserve">WickFade 5M NQ Backtest</w:t>
      </w:r>
    </w:p>
    <w:p>
      <w:pPr>
        <w:spacing w:after="4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Research Findings &amp; Strategy Assessment</w:t>
      </w:r>
    </w:p>
    <w:p>
      <w:pPr>
        <w:spacing w:after="3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 |  13-Month Backtest (Feb 2025 – Feb 2026)  |  Databento NQ Tick Data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Bottom Line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YES, the strategy is profitable.</w:t>
      </w:r>
      <w:r>
        <w:rPr>
          <w:rFonts w:ascii="Arial" w:cs="Arial" w:eastAsia="Arial" w:hAnsi="Arial"/>
          <w:sz w:val="22"/>
          <w:szCs w:val="22"/>
        </w:rPr>
        <w:t xml:space="preserve"> After stripping out simulation artifacts (sub-1s flip targets that can’t realistically occur), the wick fade on 5-minute NQ bars produces approximately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$3,500/day per contract at 0.5pt spread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$1,685/day at 2pt spread</w:t>
      </w:r>
      <w:r>
        <w:rPr>
          <w:rFonts w:ascii="Arial" w:cs="Arial" w:eastAsia="Arial" w:hAnsi="Arial"/>
          <w:sz w:val="22"/>
          <w:szCs w:val="22"/>
        </w:rPr>
        <w:t xml:space="preserve"> over 258 trading days. The edge persists every single month, including a summer lull (Jul–Sep) where it drops to roughly $2,300–$2,900/day at tight spread. Not a single month is negative.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Strategy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WickFade enters a mean-reversion (fade) trade when price breaks the previous 5-minute bar’s high or low. Entry is at market on the break. The stop is set at the wick penetration distance (how far price extended past the level). Target is a fixed 15 points. When the fade stops out, the position flips to trend-continuation with the same stop distance.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Parameters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Simulation Bugs Fixed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Five critical bugs were identified and corrected during this research. The raw simulation went from -6 R/day to profitable after these fixes.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  <w:gridCol w:w="2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break after entry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entries per bar; inflated trade count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break after fade entry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before stop (elif)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Wrong exit type on trail stops near target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 checked FIRST, then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EOD cleanup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trades silently dropped at day end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close_trade() after main loop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Flip on trail stops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Flipping when B/E or trail stop hit (not just fade)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not t_trail_active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R-based drawdown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1R with 1.5pt stop != 1R with 5pt stop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Switched to points-based DD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Core Results: Scenario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table below shows five scenarios across the full 13-month dataset at 0.5pt spread. The key question: how much of the PnL comes from unrealistic sub-1-second flip target fills?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800"/>
        <w:gridCol w:w="1000"/>
        <w:gridCol w:w="900"/>
        <w:gridCol w:w="900"/>
        <w:gridCol w:w="800"/>
        <w:gridCol w:w="800"/>
        <w:gridCol w:w="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Pts/Day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$/Day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DD Pts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Calmar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Original (as simulated)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17,631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38.4%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69,400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$5,380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1,076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&lt;=1s flip targets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15,999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32.1%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45,736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$3,545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499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&lt;=5s flip targets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15,817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31.3%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43,097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$3,341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Fades only (no flips)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10,650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34.4%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34,810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$2,698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Fades + realistic flips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15,999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32.1%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45,736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$3,545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446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finding: </w:t>
      </w:r>
      <w:r>
        <w:rPr>
          <w:rFonts w:ascii="Arial" w:cs="Arial" w:eastAsia="Arial" w:hAnsi="Arial"/>
          <w:sz w:val="22"/>
          <w:szCs w:val="22"/>
        </w:rPr>
        <w:t xml:space="preserve">Removing the sub-1s flip artifacts reduces total PnL by 34% (from 69,400 to 45,736 pts). The strategy is still strongly profitable at 177 pts/day ($3,545/contract). Fades alone produce 135 pts/day; realistic flips add another 42 pts/day. The Calmar ratio drops from a suspicious 1,076 to a more believable 446–499.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The Flip Timing Artifact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52.6% of all flip targets (1,632 of 3,101) hit within 1 second of entry. These represent $23,664 in points — one-third of total PnL. The mechanism: fade stops out at tick N, flip enters at tick N (same tick), and subsequent ticks within the same 5-minute bar already contain the 15-point target price because NQ moved 15+ points within that bar.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live trading, you would get the flip entry (NinjaTrader fires market orders on stop-out), but the target fill would not be instantaneous. Slippage on a fast 15-point move would also be significantly worse than modeled. Conservatively, these sub-1s target fills should be excluded from performance estimates.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Trade Duration Breakdown (Full 13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000"/>
        <w:gridCol w:w="1200"/>
        <w:gridCol w:w="1200"/>
        <w:gridCol w:w="900"/>
        <w:gridCol w:w="660"/>
        <w:gridCol w:w="9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PnL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Fades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Flips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&lt;5s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3,204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22,985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3,194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ARTIFACT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5-30s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1,798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2,904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128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1,670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Marginal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30s-1m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5,107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954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1,339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9,727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27,566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7,877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edge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5m+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1,828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10,839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1,681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core edge lives in the 1–5 minute bucket</w:t>
      </w:r>
      <w:r>
        <w:rPr>
          <w:rFonts w:ascii="Arial" w:cs="Arial" w:eastAsia="Arial" w:hAnsi="Arial"/>
          <w:sz w:val="22"/>
          <w:szCs w:val="22"/>
        </w:rPr>
        <w:t xml:space="preserve"> (55% of all trades, 34.6% WR, 27,566 pts). Trades lasting 5+ minutes have the highest WR (48.5%) but are less frequent. The sub-5s bucket is almost entirely flips and should be treated as unreliable.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Monthly Performance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Using the realistic scenario (fades + flips with &gt;1s targets removed), shown at 0.5pt spread: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700"/>
        <w:gridCol w:w="900"/>
        <w:gridCol w:w="900"/>
        <w:gridCol w:w="900"/>
        <w:gridCol w:w="900"/>
        <w:gridCol w:w="900"/>
        <w:gridCol w:w="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Pts/Day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$/Day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DD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Fade WR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Flip WR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 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$3,350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34.1%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28.3%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 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1,340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$4,349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30.0%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 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1,328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$5,303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42.1%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30.8%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 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1,404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31.1%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$3,477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25.9%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 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1,313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30.5%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$3,304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28.2%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Jul 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1,303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27.8%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29.5%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25.0%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Aug 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1,337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29.2%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$2,834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31.6%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25.1%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 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1,324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28.7%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$2,659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31.1%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24.9%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Oct 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1,480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30.7%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$3,389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32.7%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27.2%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 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35.8%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$4,288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26.5%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 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1,354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32.2%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$3,495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33.6%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29.5%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 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1,345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31.2%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$3,511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32.8%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27.7%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Feb 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$4,676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37.2%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Seasonal pattern: </w:t>
      </w:r>
      <w:r>
        <w:rPr>
          <w:rFonts w:ascii="Arial" w:cs="Arial" w:eastAsia="Arial" w:hAnsi="Arial"/>
          <w:sz w:val="22"/>
          <w:szCs w:val="22"/>
        </w:rPr>
        <w:t xml:space="preserve">The edge is strongest in Q1 and Q4 (high volatility months) and weakest Jul–Sep (summer lull). Even in the worst month (July 2025), the strategy nets $2,300/day per contract. Only 5 losing days across 258 trading days. Worst single day: -$1,060 (Thanksgiving week, Nov 27).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Time of Day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Edge decays steadily through the session. The first hour produces the best per-trade results.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900"/>
        <w:gridCol w:w="1000"/>
        <w:gridCol w:w="1000"/>
        <w:gridCol w:w="900"/>
        <w:gridCol w:w="900"/>
        <w:gridCol w:w="900"/>
        <w:gridCol w:w="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(UTC/ET)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PnL Pts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Pts/Tr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 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R/Tr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Fades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Flips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14:30 (9:30 ET)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1,629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44.3%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8,181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5,059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1,101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15:00 (10:00)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2,155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41.0%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9,503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5,817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1,330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15:30 (10:30)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2,140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39.7%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8,935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1,264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876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16:00 (11:00)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2,033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37.2%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7,573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4,713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1,225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16:30 (11:30)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1,992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37.7%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7,859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4,810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1,199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793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17:00 (12:00)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1,922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37.5%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7,248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4,345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1,161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17:30 (12:30)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1,954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37.0%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7,054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4,367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1,169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18:00 (1:00 PM)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1,844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36.3%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6,522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3,975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1,112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18:30 (1:30 PM)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1,827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34.6%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5,877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3,592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1,089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738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first 90 minutes (9:30–11:00 ET) account for the highest per-trade edge (4.4–5.0 pts/trade). </w:t>
      </w:r>
      <w:r>
        <w:rPr>
          <w:rFonts w:ascii="Arial" w:cs="Arial" w:eastAsia="Arial" w:hAnsi="Arial"/>
          <w:sz w:val="22"/>
          <w:szCs w:val="22"/>
        </w:rPr>
        <w:t xml:space="preserve">By 1:30 PM ET, the edge has decayed to 3.2 pts/trade. A narrower trading window (e.g., 9:30–12:00) would improve per-trade efficiency at the cost of fewer trades.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Spread Sensitivity (2pt Spread Estimate)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2pt effective spread (realistic for NQ during RTH), each trade loses an additional 1.5 pts in commission vs. the 0.5pt baseline. This is a rough estimate applied to the 0.5pt results: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200"/>
        <w:gridCol w:w="1200"/>
        <w:gridCol w:w="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Pts/Day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$/Day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Neg Days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Original (as simulated)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42,954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$3,330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&lt;=1s flip targets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21,738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$1,685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Fades only (no flips)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18,836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$1,460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Fades + realistic flips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21,738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$1,685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 2pt spread, the realistic scenario still nets $1,685/day per contract.</w:t>
      </w:r>
      <w:r>
        <w:rPr>
          <w:rFonts w:ascii="Arial" w:cs="Arial" w:eastAsia="Arial" w:hAnsi="Arial"/>
          <w:sz w:val="22"/>
          <w:szCs w:val="22"/>
        </w:rPr>
        <w:t xml:space="preserve"> However, negative days increase from 5 to 41 out of 258 (16%). This is where exit management (B/E, trailing stop) becomes important — it reduces the impact of wider spreads by cutting losers early and letting winners run.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Exit Management Findings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Several exit management approaches were tested on a 30-day mini sample. Key findings: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Exit management was tested on 30-day mini sample only. Full 13-month validation of exit management variants is still pending.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Limit Order Entry: Does Not 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Tested placing a limit order at the previous bar’s H/L level instead of entering at market on the break. Result: 10% WR, massively negative. The wick penetration IS the edge — entering at the extreme of the false breakout is what makes the strategy work. A limit fill at the level means entering when the fade thesis is already failing (price has retraced back through the level).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Open Items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Key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default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WickFade 5M NQ Research Findings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B57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2026-03-04T02:49:34.646Z</dcterms:created>
  <dcterms:modified xsi:type="dcterms:W3CDTF">2026-03-04T02:49:34.647Z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