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332"/>
          <w:sz w:val="48"/>
          <w:szCs w:val="48"/>
        </w:rPr>
        <w:t xml:space="preserve">Implementation Review</w:t>
      </w:r>
    </w:p>
    <w:p>
      <w:pPr>
        <w:spacing w:after="40"/>
      </w:pPr>
      <w:r>
        <w:rPr>
          <w:rFonts w:ascii="Arial" w:cs="Arial" w:eastAsia="Arial" w:hAnsi="Arial"/>
          <w:color w:val="2B6CB0"/>
          <w:sz w:val="28"/>
          <w:szCs w:val="28"/>
        </w:rPr>
        <w:t xml:space="preserve">Multi-Model Agent System + Backtesting Engine Selection</w:t>
      </w:r>
    </w:p>
    <w:p>
      <w:pPr>
        <w:spacing w:after="400"/>
      </w:pPr>
      <w:r>
        <w:rPr>
          <w:rFonts w:ascii="Arial" w:cs="Arial" w:eastAsia="Arial" w:hAnsi="Arial"/>
          <w:color w:val="718096"/>
          <w:sz w:val="22"/>
          <w:szCs w:val="22"/>
        </w:rPr>
        <w:t xml:space="preserve">Prepared for Harrison Willis  |  February 11, 2026</w:t>
      </w:r>
    </w:p>
    <w:p>
      <w:pPr>
        <w:pStyle w:val="Heading1"/>
        <w:spacing w:before="360" w:after="120"/>
      </w:pPr>
      <w:r>
        <w:rPr>
          <w:rFonts w:ascii="Arial" w:cs="Arial" w:eastAsia="Arial" w:hAnsi="Arial"/>
          <w:b/>
          <w:bCs/>
        </w:rPr>
        <w:t xml:space="preserve">1. Architecture Assessment</w:t>
      </w:r>
    </w:p>
    <w:p>
      <w:pPr>
        <w:spacing w:after="180"/>
      </w:pPr>
      <w:r>
        <w:rPr>
          <w:rFonts w:ascii="Arial" w:cs="Arial" w:eastAsia="Arial" w:hAnsi="Arial"/>
          <w:sz w:val="22"/>
          <w:szCs w:val="22"/>
        </w:rPr>
        <w:t xml:space="preserve">The infrastructure architecture document lays out a sound framework for moving from single-model, manual operations to a multi-model autonomous system. The core thesis is correct: you are overpaying for routine tasks that do not need Claude-tier reasoning, and the VPS is sitting idle. The tiered routing model directly addresses both problems.</w:t>
      </w:r>
    </w:p>
    <w:p>
      <w:pPr>
        <w:pStyle w:val="Heading2"/>
        <w:spacing w:before="240" w:after="120"/>
      </w:pPr>
      <w:r>
        <w:rPr>
          <w:rFonts w:ascii="Arial" w:cs="Arial" w:eastAsia="Arial" w:hAnsi="Arial"/>
          <w:b/>
          <w:bCs/>
        </w:rPr>
        <w:t xml:space="preserve">What Works Well</w:t>
      </w:r>
    </w:p>
    <w:p>
      <w:pPr>
        <w:spacing w:after="180"/>
      </w:pPr>
      <w:r>
        <w:rPr>
          <w:rFonts w:ascii="Arial" w:cs="Arial" w:eastAsia="Arial" w:hAnsi="Arial"/>
          <w:b/>
          <w:bCs/>
          <w:sz w:val="22"/>
          <w:szCs w:val="22"/>
        </w:rPr>
        <w:t xml:space="preserve">Tiered model routing through OpenRouter. </w:t>
      </w:r>
      <w:r>
        <w:rPr>
          <w:rFonts w:ascii="Arial" w:cs="Arial" w:eastAsia="Arial" w:hAnsi="Arial"/>
          <w:sz w:val="22"/>
          <w:szCs w:val="22"/>
        </w:rPr>
        <w:t xml:space="preserve">The 40/35/20/5 workload split across free, cheap, premium, and critical tiers is realistic and maps cleanly to actual task distributions. Routing Tiers 1–2 through OpenRouter while hitting the Anthropic API directly for Tiers 3–4 is the correct architectural decision because prompt caching on the 100K+ token knowledge base only works through the native Anthropic endpoint. The cost math is defensible—dropping from ~$270/mo to ~$90–120/mo once the stack is operational.</w:t>
      </w:r>
    </w:p>
    <w:p>
      <w:pPr>
        <w:spacing w:after="180"/>
      </w:pPr>
      <w:r>
        <w:rPr>
          <w:rFonts w:ascii="Arial" w:cs="Arial" w:eastAsia="Arial" w:hAnsi="Arial"/>
          <w:b/>
          <w:bCs/>
          <w:sz w:val="22"/>
          <w:szCs w:val="22"/>
        </w:rPr>
        <w:t xml:space="preserve">GitHub repo as single source of truth. </w:t>
      </w:r>
      <w:r>
        <w:rPr>
          <w:rFonts w:ascii="Arial" w:cs="Arial" w:eastAsia="Arial" w:hAnsi="Arial"/>
          <w:sz w:val="22"/>
          <w:szCs w:val="22"/>
        </w:rPr>
        <w:t xml:space="preserve">CLAUDE.md auto-context for Claude Code eliminates the context recovery problem that currently wastes ~50% of your Max credits. This alone justifies starting here.</w:t>
      </w:r>
    </w:p>
    <w:p>
      <w:pPr>
        <w:spacing w:after="180"/>
      </w:pPr>
      <w:r>
        <w:rPr>
          <w:rFonts w:ascii="Arial" w:cs="Arial" w:eastAsia="Arial" w:hAnsi="Arial"/>
          <w:b/>
          <w:bCs/>
          <w:sz w:val="22"/>
          <w:szCs w:val="22"/>
        </w:rPr>
        <w:t xml:space="preserve">Dual-path API routing. </w:t>
      </w:r>
      <w:r>
        <w:rPr>
          <w:rFonts w:ascii="Arial" w:cs="Arial" w:eastAsia="Arial" w:hAnsi="Arial"/>
          <w:sz w:val="22"/>
          <w:szCs w:val="22"/>
        </w:rPr>
        <w:t xml:space="preserve">OpenRouter for commodity models and Anthropic direct for cached Claude calls is cleaner than maintaining five separate SDKs. The callout about prompt caching not being available through OpenRouter is an important detail that a lot of people miss.</w:t>
      </w:r>
    </w:p>
    <w:p>
      <w:pPr>
        <w:spacing w:after="180"/>
      </w:pPr>
      <w:r>
        <w:rPr>
          <w:rFonts w:ascii="Arial" w:cs="Arial" w:eastAsia="Arial" w:hAnsi="Arial"/>
          <w:b/>
          <w:bCs/>
          <w:sz w:val="22"/>
          <w:szCs w:val="22"/>
        </w:rPr>
        <w:t xml:space="preserve">Build ordering. </w:t>
      </w:r>
      <w:r>
        <w:rPr>
          <w:rFonts w:ascii="Arial" w:cs="Arial" w:eastAsia="Arial" w:hAnsi="Arial"/>
          <w:sz w:val="22"/>
          <w:szCs w:val="22"/>
        </w:rPr>
        <w:t xml:space="preserve">Starting with the repo and CLAUDE.md, then API keys, then the router, then Backtrader is the right dependency chain. Each component unblocks the next without creating circular dependencies.</w:t>
      </w:r>
    </w:p>
    <w:p>
      <w:pPr>
        <w:pStyle w:val="Heading1"/>
        <w:spacing w:before="360" w:after="120"/>
      </w:pPr>
      <w:r>
        <w:rPr>
          <w:rFonts w:ascii="Arial" w:cs="Arial" w:eastAsia="Arial" w:hAnsi="Arial"/>
          <w:b/>
          <w:bCs/>
        </w:rPr>
        <w:t xml:space="preserve">2. Implementation Concerns</w:t>
      </w:r>
    </w:p>
    <w:p>
      <w:pPr>
        <w:pStyle w:val="Heading2"/>
        <w:spacing w:before="240" w:after="120"/>
      </w:pPr>
      <w:r>
        <w:rPr>
          <w:rFonts w:ascii="Arial" w:cs="Arial" w:eastAsia="Arial" w:hAnsi="Arial"/>
          <w:b/>
          <w:bCs/>
        </w:rPr>
        <w:t xml:space="preserve">Auto-Escalation Logic</w:t>
      </w:r>
    </w:p>
    <w:p>
      <w:pPr>
        <w:spacing w:after="180"/>
      </w:pPr>
      <w:r>
        <w:rPr>
          <w:rFonts w:ascii="Arial" w:cs="Arial" w:eastAsia="Arial" w:hAnsi="Arial"/>
          <w:sz w:val="22"/>
          <w:szCs w:val="22"/>
        </w:rPr>
        <w:t xml:space="preserve">The architecture specifies: "If response.confidence &lt; 0.7, escalate to next tier." This is elegant on paper but problematic in practice. Most LLM APIs do not return a meaningful confidence score. You would need to either prompt the model to self-assess (unreliable from cheap models like DeepSeek R1 or Llama 3.3) or build heuristics around response characteristics—output length, presence of hedging language, format validation pass/fail,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75A16" w:sz="1"/>
              <w:left w:val="single" w:color="975A16" w:sz="6"/>
              <w:bottom w:val="single" w:color="975A16" w:sz="1"/>
              <w:right w:val="single" w:color="975A16" w:sz="1"/>
            </w:tcBorders>
            <w:shd w:fill="FFFFF0" w:val="clear"/>
            <w:tcMar>
              <w:top w:type="dxa" w:w="120"/>
              <w:left w:type="dxa" w:w="200"/>
              <w:bottom w:type="dxa" w:w="120"/>
              <w:right w:type="dxa" w:w="200"/>
            </w:tcMar>
          </w:tcPr>
          <w:p>
            <w:pPr>
              <w:spacing w:after="0"/>
            </w:pPr>
            <w:r>
              <w:rPr>
                <w:rFonts w:ascii="Arial" w:cs="Arial" w:eastAsia="Arial" w:hAnsi="Arial"/>
                <w:sz w:val="22"/>
                <w:szCs w:val="22"/>
              </w:rPr>
              <w:t xml:space="preserve">Recommendation: For v1, hard-route by task_type only. Skip confidence-based escalation entirely. Add it in v2 once you have 2–4 weeks of real usage data showing exactly where Tier 1–2 models fail. Pattern-match on failure modes rather than inventing a confidence metric upfront.</w:t>
            </w:r>
          </w:p>
        </w:tc>
      </w:tr>
    </w:tbl>
    <w:p>
      <w:pPr>
        <w:spacing w:after="180"/>
      </w:pPr>
    </w:p>
    <w:p>
      <w:pPr>
        <w:pStyle w:val="Heading2"/>
        <w:spacing w:before="240" w:after="120"/>
      </w:pPr>
      <w:r>
        <w:rPr>
          <w:rFonts w:ascii="Arial" w:cs="Arial" w:eastAsia="Arial" w:hAnsi="Arial"/>
          <w:b/>
          <w:bCs/>
        </w:rPr>
        <w:t xml:space="preserve">Build Time Estimate</w:t>
      </w:r>
    </w:p>
    <w:p>
      <w:pPr>
        <w:spacing w:after="180"/>
      </w:pPr>
      <w:r>
        <w:rPr>
          <w:rFonts w:ascii="Arial" w:cs="Arial" w:eastAsia="Arial" w:hAnsi="Arial"/>
          <w:sz w:val="22"/>
          <w:szCs w:val="22"/>
        </w:rPr>
        <w:t xml:space="preserve">The 25–35 hour total estimate is optimistic. Components 1–5 at ~10–12 hours is achievable. But the V3 Tempo brain (Component 7, estimated at 6–8 hours) will likely consume 15–20 hours when you factor in debugging FVG detection at sub-minute timeframes against real tick data. FVG validation logic behaves differently at 5-second vs 5-minute resolution, and edge cases around session boundaries, overnight gaps, and contract rolls will surface only during testing.</w:t>
      </w:r>
    </w:p>
    <w:p>
      <w:pPr>
        <w:spacing w:after="180"/>
      </w:pPr>
      <w:r>
        <w:rPr>
          <w:rFonts w:ascii="Arial" w:cs="Arial" w:eastAsia="Arial" w:hAnsi="Arial"/>
          <w:sz w:val="22"/>
          <w:szCs w:val="22"/>
        </w:rPr>
        <w:t xml:space="preserve">The Quantower Bridge (Component 9) is also a wildcard. The C# FileWatcher pattern is straightforward, but the real complexity is in Quantower’s order execution API surface and handling partial fills, rejections, and connection drops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1"/>
              <w:left w:val="single" w:color="2B6CB0" w:sz="6"/>
              <w:bottom w:val="single" w:color="2B6CB0" w:sz="1"/>
              <w:right w:val="single" w:color="2B6CB0" w:sz="1"/>
            </w:tcBorders>
            <w:shd w:fill="EBF4FF" w:val="clear"/>
            <w:tcMar>
              <w:top w:type="dxa" w:w="120"/>
              <w:left w:type="dxa" w:w="200"/>
              <w:bottom w:type="dxa" w:w="120"/>
              <w:right w:type="dxa" w:w="200"/>
            </w:tcMar>
          </w:tcPr>
          <w:p>
            <w:pPr>
              <w:spacing w:after="0"/>
            </w:pPr>
            <w:r>
              <w:rPr>
                <w:rFonts w:ascii="Arial" w:cs="Arial" w:eastAsia="Arial" w:hAnsi="Arial"/>
                <w:sz w:val="22"/>
                <w:szCs w:val="22"/>
              </w:rPr>
              <w:t xml:space="preserve">Realistic estimate: 40–55 hours total. Plan for 3 weeks of evening/weekend work rather than 1–2 weeks. The extra time almost entirely goes to the Tempo brain and Quantower bridge.</w:t>
            </w:r>
          </w:p>
        </w:tc>
      </w:tr>
    </w:tbl>
    <w:p>
      <w:pPr>
        <w:spacing w:after="180"/>
      </w:pPr>
    </w:p>
    <w:p>
      <w:pPr>
        <w:pStyle w:val="Heading2"/>
        <w:spacing w:before="240" w:after="120"/>
      </w:pPr>
      <w:r>
        <w:rPr>
          <w:rFonts w:ascii="Arial" w:cs="Arial" w:eastAsia="Arial" w:hAnsi="Arial"/>
          <w:b/>
          <w:bCs/>
        </w:rPr>
        <w:t xml:space="preserve">Backtrader as the Backtesting Engine</w:t>
      </w:r>
    </w:p>
    <w:p>
      <w:pPr>
        <w:spacing w:after="180"/>
      </w:pPr>
      <w:r>
        <w:rPr>
          <w:rFonts w:ascii="Arial" w:cs="Arial" w:eastAsia="Arial" w:hAnsi="Arial"/>
          <w:sz w:val="22"/>
          <w:szCs w:val="22"/>
        </w:rPr>
        <w:t xml:space="preserve">The architecture recommends Backtrader as the primary backtesting engine, replacing QuantConnect cloud. Backtrader is a reasonable default—it is simple, Python-native, and free. However, it has been effectively unmaintained since ~2020 (last meaningful commit was years ago), and it has known performance limitations with large datasets and high-frequency data.</w:t>
      </w:r>
    </w:p>
    <w:p>
      <w:pPr>
        <w:spacing w:after="180"/>
      </w:pPr>
      <w:r>
        <w:rPr>
          <w:rFonts w:ascii="Arial" w:cs="Arial" w:eastAsia="Arial" w:hAnsi="Arial"/>
          <w:sz w:val="22"/>
          <w:szCs w:val="22"/>
        </w:rPr>
        <w:t xml:space="preserve">This is worth examining more carefully, because the backtesting engine is a foundational choice that affects everything downstream: strategy iteration speed, parameter optimization, and confidence in results before going live. The next section ranks all viable options for your specific use case.</w:t>
      </w:r>
    </w:p>
    <w:p>
      <w:pPr>
        <w:pageBreakBefore/>
      </w:pPr>
      <w:r>
        <w:br/>
        <w:t xml:space="preserve"/>
      </w:r>
    </w:p>
    <w:p>
      <w:pPr>
        <w:pStyle w:val="Heading1"/>
        <w:spacing w:before="360" w:after="120"/>
      </w:pPr>
      <w:r>
        <w:rPr>
          <w:rFonts w:ascii="Arial" w:cs="Arial" w:eastAsia="Arial" w:hAnsi="Arial"/>
          <w:b/>
          <w:bCs/>
        </w:rPr>
        <w:t xml:space="preserve">3. Backtesting Engine Rankings</w:t>
      </w:r>
    </w:p>
    <w:p>
      <w:pPr>
        <w:spacing w:after="180"/>
      </w:pPr>
      <w:r>
        <w:rPr>
          <w:rFonts w:ascii="Arial" w:cs="Arial" w:eastAsia="Arial" w:hAnsi="Arial"/>
          <w:sz w:val="22"/>
          <w:szCs w:val="22"/>
        </w:rPr>
        <w:t xml:space="preserve">Ranked for your specific requirements: ES/NQ futures, sub-minute timeframes (5-second to 5-minute), FVG/liquidity-based strategy logic, Python-first development, and integration with an autonomous agent system running on a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1100"/>
        <w:gridCol w:w="1000"/>
        <w:gridCol w:w="1000"/>
        <w:gridCol w:w="2660"/>
      </w:tblGrid>
      <w:tr>
        <w:tc>
          <w:tcPr>
            <w:tcW w:type="dxa" w:w="60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Rank</w:t>
            </w:r>
          </w:p>
        </w:tc>
        <w:tc>
          <w:tcPr>
            <w:tcW w:type="dxa" w:w="180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Engine</w:t>
            </w:r>
          </w:p>
        </w:tc>
        <w:tc>
          <w:tcPr>
            <w:tcW w:type="dxa" w:w="120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10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w:t>
            </w:r>
          </w:p>
        </w:tc>
        <w:tc>
          <w:tcPr>
            <w:tcW w:type="dxa" w:w="100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Futures</w:t>
            </w:r>
          </w:p>
        </w:tc>
        <w:tc>
          <w:tcPr>
            <w:tcW w:type="dxa" w:w="100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Tempo Fit</w:t>
            </w:r>
          </w:p>
        </w:tc>
        <w:tc>
          <w:tcPr>
            <w:tcW w:type="dxa" w:w="2660"/>
            <w:tcBorders>
              <w:top w:val="single" w:color="CBD5E0" w:sz="1"/>
              <w:left w:val="single" w:color="CBD5E0" w:sz="1"/>
              <w:bottom w:val="single" w:color="CBD5E0" w:sz="1"/>
              <w:right w:val="single" w:color="CBD5E0" w:sz="1"/>
            </w:tcBorders>
            <w:shd w:fill="1B233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Verdict</w:t>
            </w:r>
          </w:p>
        </w:tc>
      </w:tr>
      <w:tr>
        <w:tc>
          <w:tcPr>
            <w:tcW w:type="dxa" w:w="6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1</w:t>
            </w:r>
          </w:p>
        </w:tc>
        <w:tc>
          <w:tcPr>
            <w:tcW w:type="dxa" w:w="18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VectorBT</w:t>
            </w:r>
          </w:p>
        </w:tc>
        <w:tc>
          <w:tcPr>
            <w:tcW w:type="dxa" w:w="12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Python lib</w:t>
            </w:r>
          </w:p>
        </w:tc>
        <w:tc>
          <w:tcPr>
            <w:tcW w:type="dxa" w:w="11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Free / Pro $</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B+</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w:t>
            </w:r>
          </w:p>
        </w:tc>
        <w:tc>
          <w:tcPr>
            <w:tcW w:type="dxa" w:w="266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Best for parameter sweeps and regime analysis. Blazing fast. Handles your 50-variation parallel sweeps natively.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2</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Backtrader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Python lib</w:t>
            </w:r>
          </w:p>
        </w:tc>
        <w:tc>
          <w:tcPr>
            <w:tcW w:type="dxa" w:w="1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w:t>
            </w:r>
          </w:p>
        </w:tc>
        <w:tc>
          <w:tcPr>
            <w:tcW w:type="dxa" w:w="2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Simplest path to working backtest. Good enough for v1. Unmaintained but stable. Performance degrades at scale.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3</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NautilusTrader</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Python/Rust</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w:t>
            </w:r>
          </w:p>
        </w:tc>
        <w:tc>
          <w:tcPr>
            <w:tcW w:type="dxa" w:w="2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Production-grade, fastest engine. Overkill for now but ideal long-term if you scale to multi-strategy.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TradingView</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Platform</w:t>
            </w:r>
          </w:p>
        </w:tc>
        <w:tc>
          <w:tcPr>
            <w:tcW w:type="dxa" w:w="1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$0–$60/mo</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w:t>
            </w:r>
          </w:p>
        </w:tc>
        <w:tc>
          <w:tcPr>
            <w:tcW w:type="dxa" w:w="2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Great for visual validation, poor for automated agent integration. Pine Script is limited for FVG logic.</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5</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QuantConnect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Cloud</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 tier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w:t>
            </w:r>
          </w:p>
        </w:tc>
        <w:tc>
          <w:tcPr>
            <w:tcW w:type="dxa" w:w="2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You already know it. Keep as validation layer but move primary iteration off-cloud.</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6</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NinjaTrader</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Desktop</w:t>
            </w:r>
          </w:p>
        </w:tc>
        <w:tc>
          <w:tcPr>
            <w:tcW w:type="dxa" w:w="1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Free–$1,100</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w:t>
            </w:r>
          </w:p>
        </w:tc>
        <w:tc>
          <w:tcPr>
            <w:tcW w:type="dxa" w:w="2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Strong futures support and market replay. Desktop-bound, poor agent integration, C#/NinjaScript.</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7</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backtesting.py</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Python lib</w:t>
            </w:r>
          </w:p>
        </w:tc>
        <w:tc>
          <w:tcPr>
            <w:tcW w:type="dxa" w:w="11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w:t>
            </w:r>
          </w:p>
        </w:tc>
        <w:tc>
          <w:tcPr>
            <w:tcW w:type="dxa" w:w="1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w:t>
            </w:r>
          </w:p>
        </w:tc>
        <w:tc>
          <w:tcPr>
            <w:tcW w:type="dxa" w:w="26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Lightweight, easy to learn. Lacks live trading, limited futures support, no multi-timeframe.</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8</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MultiCharts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Desktop</w:t>
            </w:r>
          </w:p>
        </w:tc>
        <w:tc>
          <w:tcPr>
            <w:tcW w:type="dxa" w:w="1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$1,500+</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w:t>
            </w:r>
          </w:p>
        </w:tc>
        <w:tc>
          <w:tcPr>
            <w:tcW w:type="dxa" w:w="2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Institutional-grade execution modeling. Expensive, desktop-only, EasyLanguage not Python.</w:t>
            </w:r>
          </w:p>
        </w:tc>
      </w:tr>
    </w:tbl>
    <w:p>
      <w:pPr>
        <w:spacing w:after="240"/>
      </w:pPr>
    </w:p>
    <w:p>
      <w:pPr>
        <w:pStyle w:val="Heading2"/>
        <w:spacing w:before="240" w:after="120"/>
      </w:pPr>
      <w:r>
        <w:rPr>
          <w:rFonts w:ascii="Arial" w:cs="Arial" w:eastAsia="Arial" w:hAnsi="Arial"/>
          <w:b/>
          <w:bCs/>
        </w:rPr>
        <w:t xml:space="preserve">Detailed Engine Analysis</w:t>
      </w:r>
    </w:p>
    <w:p>
      <w:pPr>
        <w:pStyle w:val="Heading3"/>
        <w:spacing w:before="240" w:after="120"/>
      </w:pPr>
      <w:r>
        <w:rPr>
          <w:rFonts w:ascii="Arial" w:cs="Arial" w:eastAsia="Arial" w:hAnsi="Arial"/>
          <w:b/>
          <w:bCs/>
        </w:rPr>
        <w:t xml:space="preserve">#1: VectorBT — Recommended Primary Engine</w:t>
      </w:r>
    </w:p>
    <w:p>
      <w:pPr>
        <w:spacing w:after="180"/>
      </w:pPr>
      <w:r>
        <w:rPr>
          <w:rFonts w:ascii="Arial" w:cs="Arial" w:eastAsia="Arial" w:hAnsi="Arial"/>
          <w:sz w:val="22"/>
          <w:szCs w:val="22"/>
        </w:rPr>
        <w:t xml:space="preserve">VectorBT uses vectorized NumPy/Numba operations instead of event-driven loops. This means it can backtest 1,000 parameter combinations in the time Backtrader processes one. For your use case—running 10–50 parameter variations to find optimal FVG thresholds, DOL targets, and regime-adaptive settings—this speed advantage is transformative.</w:t>
      </w:r>
    </w:p>
    <w:p>
      <w:pPr>
        <w:spacing w:after="180"/>
      </w:pPr>
      <w:r>
        <w:rPr>
          <w:rFonts w:ascii="Arial" w:cs="Arial" w:eastAsia="Arial" w:hAnsi="Arial"/>
          <w:b/>
          <w:bCs/>
          <w:sz w:val="22"/>
          <w:szCs w:val="22"/>
        </w:rPr>
        <w:t xml:space="preserve">Why it fits Tempo: </w:t>
      </w:r>
      <w:r>
        <w:rPr>
          <w:rFonts w:ascii="Arial" w:cs="Arial" w:eastAsia="Arial" w:hAnsi="Arial"/>
          <w:sz w:val="22"/>
          <w:szCs w:val="22"/>
        </w:rPr>
        <w:t xml:space="preserve">The strategy involves testing dynamic entry timeframes (5s to 5m) based on volume/tick regime. VectorBT can sweep all regime thresholds simultaneously as a matrix operation rather than sequential backtests. You can test 200 FVG-size thresholds × 10 DOL targets × 5 regime breakpoints in minutes rather than hours.</w:t>
      </w:r>
    </w:p>
    <w:p>
      <w:pPr>
        <w:spacing w:after="180"/>
      </w:pPr>
      <w:r>
        <w:rPr>
          <w:rFonts w:ascii="Arial" w:cs="Arial" w:eastAsia="Arial" w:hAnsi="Arial"/>
          <w:b/>
          <w:bCs/>
          <w:sz w:val="22"/>
          <w:szCs w:val="22"/>
        </w:rPr>
        <w:t xml:space="preserve">Trade-offs: </w:t>
      </w:r>
      <w:r>
        <w:rPr>
          <w:rFonts w:ascii="Arial" w:cs="Arial" w:eastAsia="Arial" w:hAnsi="Arial"/>
          <w:sz w:val="22"/>
          <w:szCs w:val="22"/>
        </w:rPr>
        <w:t xml:space="preserve">Steeper learning curve than Backtrader. The vectorized paradigm requires thinking in arrays rather than bar-by-bar loops. The free version is in maintenance mode—the Pro version ($) is where active development happens. Documentation has gaps.</w:t>
      </w:r>
    </w:p>
    <w:p>
      <w:pPr>
        <w:spacing w:after="180"/>
      </w:pPr>
      <w:r>
        <w:rPr>
          <w:rFonts w:ascii="Arial" w:cs="Arial" w:eastAsia="Arial" w:hAnsi="Arial"/>
          <w:b/>
          <w:bCs/>
          <w:sz w:val="22"/>
          <w:szCs w:val="22"/>
        </w:rPr>
        <w:t xml:space="preserve">Integration: </w:t>
      </w:r>
      <w:r>
        <w:rPr>
          <w:rFonts w:ascii="Arial" w:cs="Arial" w:eastAsia="Arial" w:hAnsi="Arial"/>
          <w:sz w:val="22"/>
          <w:szCs w:val="22"/>
        </w:rPr>
        <w:t xml:space="preserve">Works perfectly in your VPS agent architecture. Import it as a Python library, feed it DataFrames, get results back as DataFrames. No GUI, no browser, no cloud dependency. The Tier 2 model can generate VectorBT backtest code and parse the results programmatically.</w:t>
      </w:r>
    </w:p>
    <w:p>
      <w:pPr>
        <w:pStyle w:val="Heading3"/>
        <w:spacing w:before="240" w:after="120"/>
      </w:pPr>
      <w:r>
        <w:rPr>
          <w:rFonts w:ascii="Arial" w:cs="Arial" w:eastAsia="Arial" w:hAnsi="Arial"/>
          <w:b/>
          <w:bCs/>
        </w:rPr>
        <w:t xml:space="preserve">#2: Backtrader — Good v1 Default</w:t>
      </w:r>
    </w:p>
    <w:p>
      <w:pPr>
        <w:spacing w:after="180"/>
      </w:pPr>
      <w:r>
        <w:rPr>
          <w:rFonts w:ascii="Arial" w:cs="Arial" w:eastAsia="Arial" w:hAnsi="Arial"/>
          <w:sz w:val="22"/>
          <w:szCs w:val="22"/>
        </w:rPr>
        <w:t xml:space="preserve">The architecture document’s choice of Backtrader is not wrong. It is the simplest path from zero to a working backtest. The class-based strategy API maps naturally to how you’ve already structured the brain code. It has native Interactive Brokers integration and CSV data feeds.</w:t>
      </w:r>
    </w:p>
    <w:p>
      <w:pPr>
        <w:spacing w:after="180"/>
      </w:pPr>
      <w:r>
        <w:rPr>
          <w:rFonts w:ascii="Arial" w:cs="Arial" w:eastAsia="Arial" w:hAnsi="Arial"/>
          <w:b/>
          <w:bCs/>
          <w:sz w:val="22"/>
          <w:szCs w:val="22"/>
        </w:rPr>
        <w:t xml:space="preserve">The concern: </w:t>
      </w:r>
      <w:r>
        <w:rPr>
          <w:rFonts w:ascii="Arial" w:cs="Arial" w:eastAsia="Arial" w:hAnsi="Arial"/>
          <w:sz w:val="22"/>
          <w:szCs w:val="22"/>
        </w:rPr>
        <w:t xml:space="preserve">Performance degrades significantly with sub-minute data over multi-year periods. A 2020–2026 backtest at 5-second resolution on ES would involve ~100M+ bars. Backtrader’s event-driven loop will struggle here. You’d likely need to test at 1-minute resolution and only drop to seconds for specific date ranges.</w:t>
      </w:r>
    </w:p>
    <w:p>
      <w:pPr>
        <w:spacing w:after="180"/>
      </w:pPr>
      <w:r>
        <w:rPr>
          <w:rFonts w:ascii="Arial" w:cs="Arial" w:eastAsia="Arial" w:hAnsi="Arial"/>
          <w:b/>
          <w:bCs/>
          <w:sz w:val="22"/>
          <w:szCs w:val="22"/>
        </w:rPr>
        <w:t xml:space="preserve">Maintenance risk: </w:t>
      </w:r>
      <w:r>
        <w:rPr>
          <w:rFonts w:ascii="Arial" w:cs="Arial" w:eastAsia="Arial" w:hAnsi="Arial"/>
          <w:sz w:val="22"/>
          <w:szCs w:val="22"/>
        </w:rPr>
        <w:t xml:space="preserve">The last meaningful commit was circa 2020. A community fork (backtrader2) exists for bug fixes only. If you hit an edge case with futures continuous contract handling or timezone-aware session boundaries, you’re debugging abandoned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1"/>
              <w:left w:val="single" w:color="276749" w:sz="6"/>
              <w:bottom w:val="single" w:color="276749" w:sz="1"/>
              <w:right w:val="single" w:color="276749" w:sz="1"/>
            </w:tcBorders>
            <w:shd w:fill="F0FFF4" w:val="clear"/>
            <w:tcMar>
              <w:top w:type="dxa" w:w="120"/>
              <w:left w:type="dxa" w:w="200"/>
              <w:bottom w:type="dxa" w:w="120"/>
              <w:right w:type="dxa" w:w="200"/>
            </w:tcMar>
          </w:tcPr>
          <w:p>
            <w:pPr>
              <w:spacing w:after="0"/>
            </w:pPr>
            <w:r>
              <w:rPr>
                <w:rFonts w:ascii="Arial" w:cs="Arial" w:eastAsia="Arial" w:hAnsi="Arial"/>
                <w:sz w:val="22"/>
                <w:szCs w:val="22"/>
              </w:rPr>
              <w:t xml:space="preserve">Pragmatic approach: Use Backtrader for v1 to get something running fast (it matches the architecture doc’s timeline). Migrate to VectorBT for v2 when you need parameter sweeps and walk-forward optimization. The brain logic (FVG detection, DOL targeting) is pure Python either way—only the harness changes.</w:t>
            </w:r>
          </w:p>
        </w:tc>
      </w:tr>
    </w:tbl>
    <w:p>
      <w:pPr>
        <w:spacing w:after="180"/>
      </w:pPr>
    </w:p>
    <w:p>
      <w:pPr>
        <w:pStyle w:val="Heading3"/>
        <w:spacing w:before="240" w:after="120"/>
      </w:pPr>
      <w:r>
        <w:rPr>
          <w:rFonts w:ascii="Arial" w:cs="Arial" w:eastAsia="Arial" w:hAnsi="Arial"/>
          <w:b/>
          <w:bCs/>
        </w:rPr>
        <w:t xml:space="preserve">#3: NautilusTrader — Long-Term Option</w:t>
      </w:r>
    </w:p>
    <w:p>
      <w:pPr>
        <w:spacing w:after="180"/>
      </w:pPr>
      <w:r>
        <w:rPr>
          <w:rFonts w:ascii="Arial" w:cs="Arial" w:eastAsia="Arial" w:hAnsi="Arial"/>
          <w:sz w:val="22"/>
          <w:szCs w:val="22"/>
        </w:rPr>
        <w:t xml:space="preserve">NautilusTrader is written in Rust with Python bindings, making it the fastest backtesting engine available. It is designed for institutional production deployment—backtest and live trading use the same codebase with no changes. For a single-strategy retail operation, it is overkill today but becomes relevant if you scale to multiple simultaneous strategies across prop accounts.</w:t>
      </w:r>
    </w:p>
    <w:p>
      <w:pPr>
        <w:pStyle w:val="Heading3"/>
        <w:spacing w:before="240" w:after="120"/>
      </w:pPr>
      <w:r>
        <w:rPr>
          <w:rFonts w:ascii="Arial" w:cs="Arial" w:eastAsia="Arial" w:hAnsi="Arial"/>
          <w:b/>
          <w:bCs/>
        </w:rPr>
        <w:t xml:space="preserve">#4: TradingView — Visual Validation Only</w:t>
      </w:r>
    </w:p>
    <w:p>
      <w:pPr>
        <w:spacing w:after="180"/>
      </w:pPr>
      <w:r>
        <w:rPr>
          <w:rFonts w:ascii="Arial" w:cs="Arial" w:eastAsia="Arial" w:hAnsi="Arial"/>
          <w:sz w:val="22"/>
          <w:szCs w:val="22"/>
        </w:rPr>
        <w:t xml:space="preserve">TradingView is excellent for visual strategy development and manual backtesting—replaying price action and eyeballing setups. For the Tempo strategy specifically, it is useful for confirming that your algorithm’s FVG detection matches what you see on the chart. However, it has significant limitations for your automated system:</w:t>
      </w:r>
    </w:p>
    <w:p>
      <w:pPr>
        <w:pStyle w:val="ListParagraph"/>
        <w:numPr>
          <w:ilvl w:val="0"/>
          <w:numId w:val="2"/>
        </w:numPr>
        <w:spacing w:after="80"/>
      </w:pPr>
      <w:r>
        <w:rPr>
          <w:rFonts w:ascii="Arial" w:cs="Arial" w:eastAsia="Arial" w:hAnsi="Arial"/>
          <w:sz w:val="22"/>
          <w:szCs w:val="22"/>
        </w:rPr>
        <w:t xml:space="preserve">Pine Script is a domain-specific language, not Python. Your brain code would need to be rewritten entirely, creating a second codebase to maintain.</w:t>
      </w:r>
    </w:p>
    <w:p>
      <w:pPr>
        <w:pStyle w:val="ListParagraph"/>
        <w:numPr>
          <w:ilvl w:val="0"/>
          <w:numId w:val="2"/>
        </w:numPr>
        <w:spacing w:after="80"/>
      </w:pPr>
      <w:r>
        <w:rPr>
          <w:rFonts w:ascii="Arial" w:cs="Arial" w:eastAsia="Arial" w:hAnsi="Arial"/>
          <w:sz w:val="22"/>
          <w:szCs w:val="22"/>
        </w:rPr>
        <w:t xml:space="preserve">No programmatic API for backtesting. You cannot trigger backtests from your VPS agent or parse results automatically. It is browser-bound.</w:t>
      </w:r>
    </w:p>
    <w:p>
      <w:pPr>
        <w:pStyle w:val="ListParagraph"/>
        <w:numPr>
          <w:ilvl w:val="0"/>
          <w:numId w:val="2"/>
        </w:numPr>
        <w:spacing w:after="80"/>
      </w:pPr>
      <w:r>
        <w:rPr>
          <w:rFonts w:ascii="Arial" w:cs="Arial" w:eastAsia="Arial" w:hAnsi="Arial"/>
          <w:sz w:val="22"/>
          <w:szCs w:val="22"/>
        </w:rPr>
        <w:t xml:space="preserve">Sub-minute data requires Premium tier ($30–60/mo). Seconds-level data (5s, 15s) for the Tempo entry timeframes is limited or unavailable.</w:t>
      </w:r>
    </w:p>
    <w:p>
      <w:pPr>
        <w:pStyle w:val="ListParagraph"/>
        <w:numPr>
          <w:ilvl w:val="0"/>
          <w:numId w:val="2"/>
        </w:numPr>
        <w:spacing w:after="80"/>
      </w:pPr>
      <w:r>
        <w:rPr>
          <w:rFonts w:ascii="Arial" w:cs="Arial" w:eastAsia="Arial" w:hAnsi="Arial"/>
          <w:sz w:val="22"/>
          <w:szCs w:val="22"/>
        </w:rPr>
        <w:t xml:space="preserve">Bar Magnifier (intrabar price simulation) helps fill accuracy but adds complexity and requires Premium+.</w:t>
      </w:r>
    </w:p>
    <w:p>
      <w:pPr>
        <w:pStyle w:val="ListParagraph"/>
        <w:numPr>
          <w:ilvl w:val="0"/>
          <w:numId w:val="2"/>
        </w:numPr>
        <w:spacing w:after="180"/>
      </w:pPr>
      <w:r>
        <w:rPr>
          <w:rFonts w:ascii="Arial" w:cs="Arial" w:eastAsia="Arial" w:hAnsi="Arial"/>
          <w:sz w:val="22"/>
          <w:szCs w:val="22"/>
        </w:rPr>
        <w:t xml:space="preserve">Strategy Tester results on non-standard charts (Heikin Ashi, Renko) are unreliable by TradingView’s own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1"/>
              <w:left w:val="single" w:color="2B6CB0" w:sz="6"/>
              <w:bottom w:val="single" w:color="2B6CB0" w:sz="1"/>
              <w:right w:val="single" w:color="2B6CB0" w:sz="1"/>
            </w:tcBorders>
            <w:shd w:fill="EBF4FF" w:val="clear"/>
            <w:tcMar>
              <w:top w:type="dxa" w:w="120"/>
              <w:left w:type="dxa" w:w="200"/>
              <w:bottom w:type="dxa" w:w="120"/>
              <w:right w:type="dxa" w:w="200"/>
            </w:tcMar>
          </w:tcPr>
          <w:p>
            <w:pPr>
              <w:spacing w:after="0"/>
            </w:pPr>
            <w:r>
              <w:rPr>
                <w:rFonts w:ascii="Arial" w:cs="Arial" w:eastAsia="Arial" w:hAnsi="Arial"/>
                <w:sz w:val="22"/>
                <w:szCs w:val="22"/>
              </w:rPr>
              <w:t xml:space="preserve">Best use for TradingView: Keep it as a visual confirmation layer. Build your FVG/DOL indicators in Pine Script for charting purposes, but do not rely on it as your primary backtesting engine. Use it to visually validate that your Python algorithm and TradingView indicators agree on the same setups.</w:t>
            </w:r>
          </w:p>
        </w:tc>
      </w:tr>
    </w:tbl>
    <w:p>
      <w:pPr>
        <w:spacing w:after="180"/>
      </w:pPr>
    </w:p>
    <w:p>
      <w:pPr>
        <w:pStyle w:val="Heading3"/>
        <w:spacing w:before="240" w:after="120"/>
      </w:pPr>
      <w:r>
        <w:rPr>
          <w:rFonts w:ascii="Arial" w:cs="Arial" w:eastAsia="Arial" w:hAnsi="Arial"/>
          <w:b/>
          <w:bCs/>
        </w:rPr>
        <w:t xml:space="preserve">#5–8: Other Options</w:t>
      </w:r>
    </w:p>
    <w:p>
      <w:pPr>
        <w:spacing w:after="180"/>
      </w:pPr>
      <w:r>
        <w:rPr>
          <w:rFonts w:ascii="Arial" w:cs="Arial" w:eastAsia="Arial" w:hAnsi="Arial"/>
          <w:b/>
          <w:bCs/>
          <w:sz w:val="22"/>
          <w:szCs w:val="22"/>
        </w:rPr>
        <w:t xml:space="preserve">QuantConnect: </w:t>
      </w:r>
      <w:r>
        <w:rPr>
          <w:rFonts w:ascii="Arial" w:cs="Arial" w:eastAsia="Arial" w:hAnsi="Arial"/>
          <w:sz w:val="22"/>
          <w:szCs w:val="22"/>
        </w:rPr>
        <w:t xml:space="preserve">Keep it exactly as the architecture doc suggests—as a backup validation layer. Its data library is valuable for cross-checking Backtrader/VectorBT results. Do not use it for primary iteration due to cloud dependency and rate limits.</w:t>
      </w:r>
    </w:p>
    <w:p>
      <w:pPr>
        <w:spacing w:after="180"/>
      </w:pPr>
      <w:r>
        <w:rPr>
          <w:rFonts w:ascii="Arial" w:cs="Arial" w:eastAsia="Arial" w:hAnsi="Arial"/>
          <w:b/>
          <w:bCs/>
          <w:sz w:val="22"/>
          <w:szCs w:val="22"/>
        </w:rPr>
        <w:t xml:space="preserve">NinjaTrader: </w:t>
      </w:r>
      <w:r>
        <w:rPr>
          <w:rFonts w:ascii="Arial" w:cs="Arial" w:eastAsia="Arial" w:hAnsi="Arial"/>
          <w:sz w:val="22"/>
          <w:szCs w:val="22"/>
        </w:rPr>
        <w:t xml:space="preserve">Strong futures platform with native market replay. However, it is desktop-bound (Windows), uses C#/NinjaScript (not Python), and cannot integrate with your VPS agent architecture. If you were not building an autonomous system, NinjaTrader would rank higher.</w:t>
      </w:r>
    </w:p>
    <w:p>
      <w:pPr>
        <w:spacing w:after="180"/>
      </w:pPr>
      <w:r>
        <w:rPr>
          <w:rFonts w:ascii="Arial" w:cs="Arial" w:eastAsia="Arial" w:hAnsi="Arial"/>
          <w:b/>
          <w:bCs/>
          <w:sz w:val="22"/>
          <w:szCs w:val="22"/>
        </w:rPr>
        <w:t xml:space="preserve">backtesting.py: </w:t>
      </w:r>
      <w:r>
        <w:rPr>
          <w:rFonts w:ascii="Arial" w:cs="Arial" w:eastAsia="Arial" w:hAnsi="Arial"/>
          <w:sz w:val="22"/>
          <w:szCs w:val="22"/>
        </w:rPr>
        <w:t xml:space="preserve">A lighter-weight alternative to Backtrader. Easier to learn but lacks multi-timeframe support, which is critical for the Tempo strategy (15m fractals as higher-timeframe structure, 5s–5m for entries).</w:t>
      </w:r>
    </w:p>
    <w:p>
      <w:pPr>
        <w:spacing w:after="180"/>
      </w:pPr>
      <w:r>
        <w:rPr>
          <w:rFonts w:ascii="Arial" w:cs="Arial" w:eastAsia="Arial" w:hAnsi="Arial"/>
          <w:b/>
          <w:bCs/>
          <w:sz w:val="22"/>
          <w:szCs w:val="22"/>
        </w:rPr>
        <w:t xml:space="preserve">MultiCharts: </w:t>
      </w:r>
      <w:r>
        <w:rPr>
          <w:rFonts w:ascii="Arial" w:cs="Arial" w:eastAsia="Arial" w:hAnsi="Arial"/>
          <w:sz w:val="22"/>
          <w:szCs w:val="22"/>
        </w:rPr>
        <w:t xml:space="preserve">Institutional-grade execution modeling with tick-by-tick precision. Expensive ($1,500+), uses EasyLanguage/PowerLanguage (not Python), and is desktop-only. Does not fit the agent architecture.</w:t>
      </w:r>
    </w:p>
    <w:p>
      <w:pPr>
        <w:pageBreakBefore/>
      </w:pPr>
      <w:r>
        <w:br/>
        <w:t xml:space="preserve"/>
      </w:r>
    </w:p>
    <w:p>
      <w:pPr>
        <w:pStyle w:val="Heading1"/>
        <w:spacing w:before="360" w:after="120"/>
      </w:pPr>
      <w:r>
        <w:rPr>
          <w:rFonts w:ascii="Arial" w:cs="Arial" w:eastAsia="Arial" w:hAnsi="Arial"/>
          <w:b/>
          <w:bCs/>
        </w:rPr>
        <w:t xml:space="preserve">4. Recommended Implementation Path</w:t>
      </w:r>
    </w:p>
    <w:p>
      <w:pPr>
        <w:spacing w:after="180"/>
      </w:pPr>
      <w:r>
        <w:rPr>
          <w:rFonts w:ascii="Arial" w:cs="Arial" w:eastAsia="Arial" w:hAnsi="Arial"/>
          <w:sz w:val="22"/>
          <w:szCs w:val="22"/>
        </w:rPr>
        <w:t xml:space="preserve">Taking the architecture document’s build sequence and adjusting for the concerns above:</w:t>
      </w:r>
    </w:p>
    <w:p>
      <w:pPr>
        <w:pStyle w:val="Heading2"/>
        <w:spacing w:before="240" w:after="120"/>
      </w:pPr>
      <w:r>
        <w:rPr>
          <w:rFonts w:ascii="Arial" w:cs="Arial" w:eastAsia="Arial" w:hAnsi="Arial"/>
          <w:b/>
          <w:bCs/>
        </w:rPr>
        <w:t xml:space="preserve">Phase 1: Foundation (This Weekend)</w:t>
      </w:r>
    </w:p>
    <w:p>
      <w:pPr>
        <w:pStyle w:val="ListParagraph"/>
        <w:numPr>
          <w:ilvl w:val="0"/>
          <w:numId w:val="3"/>
        </w:numPr>
        <w:spacing w:after="80"/>
      </w:pPr>
      <w:r>
        <w:rPr>
          <w:rFonts w:ascii="Arial" w:cs="Arial" w:eastAsia="Arial" w:hAnsi="Arial"/>
          <w:sz w:val="22"/>
          <w:szCs w:val="22"/>
        </w:rPr>
        <w:t xml:space="preserve">Create the GitHub repo with CLAUDE.md, docs/brains/, and the directory structure from the architecture doc. This is 30 minutes and immediately unlocks persistent context in Claude Code.</w:t>
      </w:r>
    </w:p>
    <w:p>
      <w:pPr>
        <w:pStyle w:val="ListParagraph"/>
        <w:numPr>
          <w:ilvl w:val="0"/>
          <w:numId w:val="3"/>
        </w:numPr>
        <w:spacing w:after="80"/>
      </w:pPr>
      <w:r>
        <w:rPr>
          <w:rFonts w:ascii="Arial" w:cs="Arial" w:eastAsia="Arial" w:hAnsi="Arial"/>
          <w:sz w:val="22"/>
          <w:szCs w:val="22"/>
        </w:rPr>
        <w:t xml:space="preserve">Sign up for OpenRouter and xAI (free credits). Grab your Anthropic API key. Store all keys in .env (gitignored).</w:t>
      </w:r>
    </w:p>
    <w:p>
      <w:pPr>
        <w:pStyle w:val="ListParagraph"/>
        <w:numPr>
          <w:ilvl w:val="0"/>
          <w:numId w:val="3"/>
        </w:numPr>
        <w:spacing w:after="180"/>
      </w:pPr>
      <w:r>
        <w:rPr>
          <w:rFonts w:ascii="Arial" w:cs="Arial" w:eastAsia="Arial" w:hAnsi="Arial"/>
          <w:sz w:val="22"/>
          <w:szCs w:val="22"/>
        </w:rPr>
        <w:t xml:space="preserve">Build the model router as a standalone Python module. Hard-route by task_type only (no confidence scoring). Test locally by sending one real task through OpenRouter to DeepSeek R1 and confirming the response.</w:t>
      </w:r>
    </w:p>
    <w:p>
      <w:pPr>
        <w:pStyle w:val="Heading2"/>
        <w:spacing w:before="240" w:after="120"/>
      </w:pPr>
      <w:r>
        <w:rPr>
          <w:rFonts w:ascii="Arial" w:cs="Arial" w:eastAsia="Arial" w:hAnsi="Arial"/>
          <w:b/>
          <w:bCs/>
        </w:rPr>
        <w:t xml:space="preserve">Phase 2: Backtesting Foundation (Week 1)</w:t>
      </w:r>
    </w:p>
    <w:p>
      <w:pPr>
        <w:pStyle w:val="ListParagraph"/>
        <w:numPr>
          <w:ilvl w:val="0"/>
          <w:numId w:val="4"/>
        </w:numPr>
        <w:spacing w:after="80"/>
      </w:pPr>
      <w:r>
        <w:rPr>
          <w:rFonts w:ascii="Arial" w:cs="Arial" w:eastAsia="Arial" w:hAnsi="Arial"/>
          <w:sz w:val="22"/>
          <w:szCs w:val="22"/>
        </w:rPr>
        <w:t xml:space="preserve">Install Backtrader on Mac and VPS. Write a minimal harness that runs the existing Tempo brain logic against exported Quantower CSV data. Validate on 1-month of 1-minute ES data.</w:t>
      </w:r>
    </w:p>
    <w:p>
      <w:pPr>
        <w:pStyle w:val="ListParagraph"/>
        <w:numPr>
          <w:ilvl w:val="0"/>
          <w:numId w:val="4"/>
        </w:numPr>
        <w:spacing w:after="80"/>
      </w:pPr>
      <w:r>
        <w:rPr>
          <w:rFonts w:ascii="Arial" w:cs="Arial" w:eastAsia="Arial" w:hAnsi="Arial"/>
          <w:sz w:val="22"/>
          <w:szCs w:val="22"/>
        </w:rPr>
        <w:t xml:space="preserve">Simultaneously, install VectorBT and prototype the same strategy in vectorized form. This is the migration prep—do not block on it, but start learning the paradigm.</w:t>
      </w:r>
    </w:p>
    <w:p>
      <w:pPr>
        <w:pStyle w:val="ListParagraph"/>
        <w:numPr>
          <w:ilvl w:val="0"/>
          <w:numId w:val="4"/>
        </w:numPr>
        <w:spacing w:after="180"/>
      </w:pPr>
      <w:r>
        <w:rPr>
          <w:rFonts w:ascii="Arial" w:cs="Arial" w:eastAsia="Arial" w:hAnsi="Arial"/>
          <w:sz w:val="22"/>
          <w:szCs w:val="22"/>
        </w:rPr>
        <w:t xml:space="preserve">Build a TradingView Pine Script indicator for FVG detection and DOL levels. Use this for visual confirmation only—chart it alongside your Python backtest results to catch discrepancies.</w:t>
      </w:r>
    </w:p>
    <w:p>
      <w:pPr>
        <w:pStyle w:val="Heading2"/>
        <w:spacing w:before="240" w:after="120"/>
      </w:pPr>
      <w:r>
        <w:rPr>
          <w:rFonts w:ascii="Arial" w:cs="Arial" w:eastAsia="Arial" w:hAnsi="Arial"/>
          <w:b/>
          <w:bCs/>
        </w:rPr>
        <w:t xml:space="preserve">Phase 3: VPS + Agent Stack (Week 2–3)</w:t>
      </w:r>
    </w:p>
    <w:p>
      <w:pPr>
        <w:spacing w:after="180"/>
      </w:pPr>
      <w:r>
        <w:rPr>
          <w:rFonts w:ascii="Arial" w:cs="Arial" w:eastAsia="Arial" w:hAnsi="Arial"/>
          <w:sz w:val="22"/>
          <w:szCs w:val="22"/>
        </w:rPr>
        <w:t xml:space="preserve">Deploy the API wrapper (FastAPI + model router) to the VPS. Bootstrap OpenClaw. Wire up Telegram notifications. Get the full loop working: market context → model router → strategy evaluation → Telegram alert.</w:t>
      </w:r>
    </w:p>
    <w:p>
      <w:pPr>
        <w:pStyle w:val="Heading2"/>
        <w:spacing w:before="240" w:after="120"/>
      </w:pPr>
      <w:r>
        <w:rPr>
          <w:rFonts w:ascii="Arial" w:cs="Arial" w:eastAsia="Arial" w:hAnsi="Arial"/>
          <w:b/>
          <w:bCs/>
        </w:rPr>
        <w:t xml:space="preserve">Phase 4: Tempo V3 + Live Prep (Week 3–4+)</w:t>
      </w:r>
    </w:p>
    <w:p>
      <w:pPr>
        <w:spacing w:after="180"/>
      </w:pPr>
      <w:r>
        <w:rPr>
          <w:rFonts w:ascii="Arial" w:cs="Arial" w:eastAsia="Arial" w:hAnsi="Arial"/>
          <w:sz w:val="22"/>
          <w:szCs w:val="22"/>
        </w:rPr>
        <w:t xml:space="preserve">This is where the real time goes. Apply V3 rules to the algorithm, iterate against Backtrader locally, run full validation on VPS, cross-check against QuantConnect and TradingView visuals. Build the Quantower bridge last—only after you trust the signal generation.</w:t>
      </w:r>
    </w:p>
    <w:p>
      <w:pPr>
        <w:pStyle w:val="Heading1"/>
        <w:spacing w:before="360" w:after="120"/>
      </w:pPr>
      <w:r>
        <w:rPr>
          <w:rFonts w:ascii="Arial" w:cs="Arial" w:eastAsia="Arial" w:hAnsi="Arial"/>
          <w:b/>
          <w:bCs/>
        </w:rPr>
        <w:t xml:space="preserve">5. Bottom Line</w:t>
      </w:r>
    </w:p>
    <w:p>
      <w:pPr>
        <w:spacing w:after="180"/>
      </w:pPr>
      <w:r>
        <w:rPr>
          <w:rFonts w:ascii="Arial" w:cs="Arial" w:eastAsia="Arial" w:hAnsi="Arial"/>
          <w:sz w:val="22"/>
          <w:szCs w:val="22"/>
        </w:rPr>
        <w:t xml:space="preserve">The architecture is well-designed and the build sequence is mostly right. Three adjustments:</w:t>
      </w:r>
    </w:p>
    <w:p>
      <w:pPr>
        <w:pStyle w:val="ListParagraph"/>
        <w:numPr>
          <w:ilvl w:val="0"/>
          <w:numId w:val="5"/>
        </w:numPr>
        <w:spacing w:after="100"/>
      </w:pPr>
      <w:r>
        <w:rPr>
          <w:rFonts w:ascii="Arial" w:cs="Arial" w:eastAsia="Arial" w:hAnsi="Arial"/>
          <w:b/>
          <w:bCs/>
          <w:sz w:val="22"/>
          <w:szCs w:val="22"/>
        </w:rPr>
        <w:t xml:space="preserve">Drop confidence-based auto-escalation from v1.</w:t>
      </w:r>
      <w:r>
        <w:rPr>
          <w:rFonts w:ascii="Arial" w:cs="Arial" w:eastAsia="Arial" w:hAnsi="Arial"/>
          <w:sz w:val="22"/>
          <w:szCs w:val="22"/>
        </w:rPr>
        <w:t xml:space="preserve"> Hard-route by task type. Add smart escalation in v2 once you have failure data.</w:t>
      </w:r>
    </w:p>
    <w:p>
      <w:pPr>
        <w:pStyle w:val="ListParagraph"/>
        <w:numPr>
          <w:ilvl w:val="0"/>
          <w:numId w:val="5"/>
        </w:numPr>
        <w:spacing w:after="100"/>
      </w:pPr>
      <w:r>
        <w:rPr>
          <w:rFonts w:ascii="Arial" w:cs="Arial" w:eastAsia="Arial" w:hAnsi="Arial"/>
          <w:b/>
          <w:bCs/>
          <w:sz w:val="22"/>
          <w:szCs w:val="22"/>
        </w:rPr>
        <w:t xml:space="preserve">Plan for VectorBT as the primary backtesting engine by v2.</w:t>
      </w:r>
      <w:r>
        <w:rPr>
          <w:rFonts w:ascii="Arial" w:cs="Arial" w:eastAsia="Arial" w:hAnsi="Arial"/>
          <w:sz w:val="22"/>
          <w:szCs w:val="22"/>
        </w:rPr>
        <w:t xml:space="preserve"> Start with Backtrader for speed-to-first-result, but the parameter sweep capability of VectorBT is what the Tempo strategy actually needs for regime optimization.</w:t>
      </w:r>
    </w:p>
    <w:p>
      <w:pPr>
        <w:pStyle w:val="ListParagraph"/>
        <w:numPr>
          <w:ilvl w:val="0"/>
          <w:numId w:val="5"/>
        </w:numPr>
        <w:spacing w:after="100"/>
      </w:pPr>
      <w:r>
        <w:rPr>
          <w:rFonts w:ascii="Arial" w:cs="Arial" w:eastAsia="Arial" w:hAnsi="Arial"/>
          <w:b/>
          <w:bCs/>
          <w:sz w:val="22"/>
          <w:szCs w:val="22"/>
        </w:rPr>
        <w:t xml:space="preserve">Use TradingView as a visual confirmation layer, not a backtesting engine.</w:t>
      </w:r>
      <w:r>
        <w:rPr>
          <w:rFonts w:ascii="Arial" w:cs="Arial" w:eastAsia="Arial" w:hAnsi="Arial"/>
          <w:sz w:val="22"/>
          <w:szCs w:val="22"/>
        </w:rPr>
        <w:t xml:space="preserve"> Pine Script indicators for FVG/DOL charting are valuable. Pine Script strategies for automated backtesting are a dead end for this architecture.</w:t>
      </w:r>
    </w:p>
    <w:p>
      <w:pPr>
        <w:pStyle w:val="ListParagraph"/>
        <w:numPr>
          <w:ilvl w:val="0"/>
          <w:numId w:val="5"/>
        </w:numPr>
        <w:spacing w:after="180"/>
      </w:pPr>
      <w:r>
        <w:rPr>
          <w:rFonts w:ascii="Arial" w:cs="Arial" w:eastAsia="Arial" w:hAnsi="Arial"/>
          <w:b/>
          <w:bCs/>
          <w:sz w:val="22"/>
          <w:szCs w:val="22"/>
        </w:rPr>
        <w:t xml:space="preserve">Budget 40–55 hours, not 25–35.</w:t>
      </w:r>
      <w:r>
        <w:rPr>
          <w:rFonts w:ascii="Arial" w:cs="Arial" w:eastAsia="Arial" w:hAnsi="Arial"/>
          <w:sz w:val="22"/>
          <w:szCs w:val="22"/>
        </w:rPr>
        <w:t xml:space="preserve"> The Tempo brain and Quantower bridge will take longer than estimated. Everything else tracks.</w:t>
      </w:r>
    </w:p>
    <w:p>
      <w:pPr>
        <w:spacing w:after="180"/>
      </w:pPr>
      <w:r>
        <w:rPr>
          <w:rFonts w:ascii="Arial" w:cs="Arial" w:eastAsia="Arial" w:hAnsi="Arial"/>
          <w:i/>
          <w:iCs/>
          <w:color w:val="718096"/>
          <w:sz w:val="22"/>
          <w:szCs w:val="22"/>
        </w:rPr>
        <w:t xml:space="preserve">The first concrete step is still the same: create the repo and CLAUDE.md today. Everything else layers on top.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Infrastructure Implementation Review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2026-02-11T20:00:29.946Z</dcterms:created>
  <dcterms:modified xsi:type="dcterms:W3CDTF">2026-02-11T20:00:29.947Z</dcterms:modified>
</cp:coreProperties>
</file>

<file path=docProps/custom.xml><?xml version="1.0" encoding="utf-8"?>
<Properties xmlns="http://schemas.openxmlformats.org/officeDocument/2006/custom-properties" xmlns:vt="http://schemas.openxmlformats.org/officeDocument/2006/docPropsVTypes"/>
</file>