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2332"/>
          <w:sz w:val="48"/>
          <w:szCs w:val="48"/>
        </w:rPr>
        <w:t xml:space="preserve">TEMPO CONTEXT ENGINE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V1.1 Addendum — Reviewed Enhancements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Incorporating external review feedback  |  Feb 14,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addendum extends the V1.0 spec with five high-value additions identified during external review. These fill genuine gaps in the original design. Each addition includes rationale, feature definitions, and integration points with the existing architecture.</w:t>
      </w:r>
    </w:p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A1. Multi-Day Regime Memory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V1.0 spec classifies each session independently. But markets have memory across days. A trend day following two other trend days has different implications than a trend day after three range days. The system needs a higher-level regime tracker that captures multi-day patterns.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This Adds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rolling regime state that sits above the daily classifier. It answers: what has the market been doing this week, and does that make today's prediction more or less reliable?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Predicts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regime_3d_vol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3-day realized volatility percentile vs 60-day lookback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we in an expanding or contracting vol environment?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regime_5d_trend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5-day cumulative directional move / 5-day ATR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week or mean-reverting week?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regime_week_range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Week-to-date range / average weekly 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weekly range exhausted or just starting?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consecutive_day_type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consecutive same-type days (e.g., 3 range days in a row)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probability — long streaks tend to break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macro_event_density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high-impact events in the next 5 trading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Defensive week vs opportunity week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prior_week_outcome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week: trending, choppy, or mixed (based on daily type sequence)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momentum or regime shift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These features feed into the PRE_OVERNIGHT checkpoint as prior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regime state modulates the daily classifier: if we're in a trending week and today looks like trend, boost that probability. If we're in a trending week and today looks like range, this might be the transition day — reduce confidence.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Regime state is logged alongside daily probabilities for post-hoc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Rolling 60-day training window applies here too — regime patterns change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Build Phase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(price-only). All these features are computable from daily OHLC data. No additional data source needed.</w:t>
      </w:r>
    </w:p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A2. Gap Intelligence Sub-Engine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V1.0 has two gap features (gap_size_pct and gap_location). Gaps in NQ futures are one of the highest-signal structures available. They deserve a dedicated sub-engine with 8-10 features, not two.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Predicts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gap_size_percentile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gap size vs 60-day gap size distribution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gap unusual or routine?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gap_direction_vs_trend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direction aligned with or against 5-day trend?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Continuation vs reversal gap probability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gap_into_hvn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gap open into a high-volume node from prior session?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fill probability — price attracted to acceptance zone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gap_into_lvn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gap open into a low-volume node?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Continuation more likely — no acceptance, price moves through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gap_vs_prior_va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opens inside, above, or below prior day's value area?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= fill likely. Outside = potential expansion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gap_fill_history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20-day gap fill rate (% of gaps that filled same day)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rate for gap fill probability today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gap_news_context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gap driven by a news event or organic overnight flow?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gaps fill differently than organic gaps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gap_first_5min_reaction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first 5 minutes extend the gap or start filling? (Updated at OPEN_5MIN)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gap behavior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weekly_gap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 open vs Friday close gap. Size and direction.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level gap — different dynamics than daily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Gap Classification 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sub-engine classifies each gap into one of four types: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FILL_PROBABLE: Small gap, into HVN, inside prior VA, no news. Playbook: fade the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CONTINUATION_PROBABLE: Large gap, into LVN, aligned with trend, news-driven. Playbook: trade with the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AMBIGUOUS: Mixed signals. Playbook: wait for first 15 minutes, reduce size.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NO_GAP: Gap &lt; 0.1 ATR. Gap classification irrelevant today.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Build Phase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for price-based features (gap_size_percentile, gap_direction_vs_trend, gap_fill_history, gap_vs_prior_va). Phase 2 for volume-dependent features (gap_into_hvn, gap_into_lvn). Phase 4 for news context.</w:t>
      </w:r>
    </w:p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A3. Opportunity Score Layer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 type classification answers WHAT kind of day it is. But it doesn't answer WHETHER we should trade aggressively. A trend day with thin volume and wide spreads is worse than a range day with clean edges and tight spreads. The system needs a separate quality assessment.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context engine outputs TWO things at each checkpoint: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 type probabilities (existing): P(Trend), P(Range), P(Expansion), P(Compression), P(News-Shock)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Opportunity score (NEW): 0.0 to 1.0 representing overall trade quality today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Opportunity Score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confidence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probability in the distribution. High confidence = clearer environment = better opportunity.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playbook performance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well has the selected playbook performed in similar environments historically? Strong track record = higher score.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participation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volume vs average. Higher participation = better fills, more reliable signals.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stability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predictions been stable across checkpoints, or flipping wildly? Stability = higher score.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alignment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today's classification align with the multi-day regime? Alignment = higher confidence, higher score.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It's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&gt; 0.70: Full size, full playbook, take all qualifying setups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0.50-0.70: Reduced size (75%), be selective with setups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0.30-0.50: Minimal trading, only A+ setups, half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&lt; 0.30: Stand down. No new trades. This is a no-trade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is logged at every checkpoint alongside probabilities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Post-hoc analysis: does higher opportunity score actually predict higher PnL? If not, recalibrate weights.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No-Trade Intelligence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arguably the most valuable output of the entire system. The ability to say "today is not a good day to trade" and sit out prevents the majority of drawdown. Most losing days are days where the system forced trades in low-quality environments. The opportunity score formalizes the stand-down decision.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Build Phase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(partial): classification confidence and regime alignment are available immediately. Full score requires Phase 2+ for volume participation.</w:t>
      </w:r>
    </w:p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A4. Confidence Stability &amp; Decay Modeling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checkpoint system updates probabilities as new evidence arrives. But if predictions flip wildly between checkpoints (Range at 9:35 → Trend at 9:45 → Range at 10:30), the model is confused, not learning. The system needs to detect its own uncertainty and respond by reducing exposure.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Design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Prediction stability score: </w:t>
      </w:r>
      <w:r>
        <w:rPr>
          <w:rFonts w:ascii="Arial" w:cs="Arial" w:eastAsia="Arial" w:hAnsi="Arial"/>
          <w:sz w:val="22"/>
          <w:szCs w:val="22"/>
        </w:rPr>
        <w:t xml:space="preserve">Measured as 1 minus the average absolute probability change across all checkpoints today. If probabilities barely move: stability = 0.95 (very stable). If they flip 30+ percentage points each checkpoint: stability = 0.20 (very unstable).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stability = 1.0 - mean(abs(prob_changes_across_checkpoints))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Flip count: </w:t>
      </w:r>
      <w:r>
        <w:rPr>
          <w:rFonts w:ascii="Arial" w:cs="Arial" w:eastAsia="Arial" w:hAnsi="Arial"/>
          <w:sz w:val="22"/>
          <w:szCs w:val="22"/>
        </w:rPr>
        <w:t xml:space="preserve">Number of times the top-1 predicted session type changed between consecutive checkpoints. 0-1 flips is normal (morning refinement). 3+ flips means the model is lost.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Confidence half-life: </w:t>
      </w:r>
      <w:r>
        <w:rPr>
          <w:rFonts w:ascii="Arial" w:cs="Arial" w:eastAsia="Arial" w:hAnsi="Arial"/>
          <w:sz w:val="22"/>
          <w:szCs w:val="22"/>
        </w:rPr>
        <w:t xml:space="preserve">How quickly does the model's confidence in its pre-session prior decay? If evidence keeps contradicting the prior, confidence in the original prediction should decay exponentially, not linearly.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Response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Stability &gt; 0.70 and flip count &lt;= 1: Normal operation. Full playbook.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Stability 0.50-0.70 or flip count = 2: Reduce size by 25%. Tighten stops.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Stability &lt; 0.50 or flip count &gt;= 3: Reduce size by 50%. Only take highest-conviction setups.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top-1 probability drops below 0.35 at any checkpoint: ambiguous regime. Reduce size regardless of stability.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stability metrics logged for post-hoc analysis: do unstable days actually produce worse results? If yes, calibrate thresholds. If not, loosen them.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Build Phase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1. This requires only the checkpoint probability history, which is already being logged. Zero additional data needed.</w:t>
      </w:r>
    </w:p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A5. Behavior Transition Model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V1.0 classifier predicts what kind of session we're in. But the most profitable moments are transitions: when a range day becomes an expansion day, or a trend day reverses. Catching transitions is where the biggest R trades live.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transition probability matrix that estimates the likelihood of switching from the current session type to another. This is computed at each checkpoint based on the evidence pattern.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Transitions to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Trigger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 Implication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 → Expansion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spike + range break + POC shift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 setups. Widest stops, biggest targets.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 → Trend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sweep that doesn't mean-revert + delta divergence + POC migration starts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fading, switch to pullback entries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→ Reversal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Exhaustion volume + delta divergence + absorption at extreme + POC stops migrating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runners, consider counter-trend. Tightest stops.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Expansion → Compression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dies off + range stops extending + POC stabilizes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trade frequency, tighten targets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→ News-Shock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event window opens OR headline spike detected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discretionary positions, engage news playbook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each checkpoint, compute transition probabilities alongside session type probabilities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P(transition to different type) &gt; 0.40 at any checkpoint, flag as "transition warning"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Transition warnings are logged and trigger: tighten stops on current positions, prepare alternate playbook, reduce new entry size until 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Historical analysis: which feature patterns most reliably preceded each transition? This becomes the training data for the transition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transition model is the foundation for the long-term vision: not just knowing what regime we're in, but anticipating when it's about to change.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Build Phase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3+. This requires enough historical data to learn transition patterns reliably. The basic version can start with Phase 1 data (consecutive day-type sequences), but the intra-session version needs volume and order flow data from Phase 2-3.</w:t>
      </w:r>
    </w:p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Updated Build Phase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Incorporating all V1.1 additions into the phased build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3580"/>
        <w:gridCol w:w="358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Added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from V1.1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1 price features, basic classifier, playbook mapping, probability logging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Multi-day regime memory (A1), gap price features (A2), opportunity score partial (A3), confidence stability (A4)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2-3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Databento volume profile: POC, VA, HVN/LVN, relative volume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volume features (A2: gap_into_hvn, gap_into_lvn), full opportunity score (A3)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3-4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flow: delta, imbalance, absorption, exhaustion. Checkpoint runner.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 transition model v1 (A5), intra-session transition detection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4-5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calendar, earnings, cross-asset signals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news context (A2), macro event density for regime (A1)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5-6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integration, real-time updates, Telegram alerts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transition model (A5), live opportunity scoring, confidence decay alerts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phase remains independently testable. No phase requires a future phase to validate. Ship and measure each one before moving on.</w:t>
      </w:r>
    </w:p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Review Notes: What Was NOT Added (and Why)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external review suggested several additions that were intentionally excluded from this update: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"Meta layer above everything" — </w:t>
      </w:r>
      <w:r>
        <w:rPr>
          <w:rFonts w:ascii="Arial" w:cs="Arial" w:eastAsia="Arial" w:hAnsi="Arial"/>
          <w:sz w:val="22"/>
          <w:szCs w:val="22"/>
        </w:rPr>
        <w:t xml:space="preserve">Not added. The existing classifier already outputs regime + session type + playbook. Adding another abstraction layer ("Market State Engine") would just rename existing outputs without adding predictive power. Vocabulary doesn't improve accuracy.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"Time of day personality modeling" — </w:t>
      </w:r>
      <w:r>
        <w:rPr>
          <w:rFonts w:ascii="Arial" w:cs="Arial" w:eastAsia="Arial" w:hAnsi="Arial"/>
          <w:sz w:val="22"/>
          <w:szCs w:val="22"/>
        </w:rPr>
        <w:t xml:space="preserve">Not added as a separate module. The checkpoint system already encodes time-of-day awareness. The OPEN_15MIN checkpoint naturally captures "NY AM is trend-prone" through its features. Adding a separate personality module would duplicate what checkpoints already do.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"Execution friction awareness (spread widening, tick volatility)" — </w:t>
      </w:r>
      <w:r>
        <w:rPr>
          <w:rFonts w:ascii="Arial" w:cs="Arial" w:eastAsia="Arial" w:hAnsi="Arial"/>
          <w:sz w:val="22"/>
          <w:szCs w:val="22"/>
        </w:rPr>
        <w:t xml:space="preserve">Deferred to Phase 3+. These are valid signals but require tick-level data we don't have in Phase 1. The opportunity score partially captures this through volume participation. Full microstructure modeling comes with Databento integration.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"Playbook performance conditioning" — </w:t>
      </w:r>
      <w:r>
        <w:rPr>
          <w:rFonts w:ascii="Arial" w:cs="Arial" w:eastAsia="Arial" w:hAnsi="Arial"/>
          <w:sz w:val="22"/>
          <w:szCs w:val="22"/>
        </w:rPr>
        <w:t xml:space="preserve">Already implicit in the self-improving loop (Section 8 of V1.0). The system already tracks playbook performance by environment type. The reviewer's suggestion to formalize this is correct but the mechanism already exists — it just needs data from the first few weeks of operation to populate.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decisions can be revisited after Phase 2 if the data suggests they would add meaningful predictive value.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TEMPO CONTEXT ENGINE  |  V1.1 Addendum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2026-02-14T18:47:57.082Z</dcterms:created>
  <dcterms:modified xsi:type="dcterms:W3CDTF">2026-02-14T18:47:57.086Z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