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7"/>
          <w:sz w:val="56"/>
          <w:szCs w:val="56"/>
        </w:rPr>
        <w:t xml:space="preserve">15S Wick Fade</w:t>
      </w:r>
    </w:p>
    <w:p>
      <w:pPr>
        <w:spacing w:after="200"/>
        <w:jc w:val="center"/>
      </w:pPr>
      <w:r>
        <w:rPr>
          <w:rFonts w:ascii="Arial" w:cs="Arial" w:eastAsia="Arial" w:hAnsi="Arial"/>
          <w:color w:val="666666"/>
          <w:sz w:val="36"/>
          <w:szCs w:val="36"/>
        </w:rPr>
        <w:t xml:space="preserve">NQ Futures Trading Strategy</w:t>
      </w:r>
    </w:p>
    <w:p>
      <w:pPr>
        <w:spacing w:after="100"/>
        <w:jc w:val="center"/>
      </w:pPr>
      <w:r>
        <w:rPr>
          <w:rFonts w:ascii="Arial" w:cs="Arial" w:eastAsia="Arial" w:hAnsi="Arial"/>
          <w:color w:val="888888"/>
          <w:sz w:val="30"/>
          <w:szCs w:val="30"/>
        </w:rPr>
        <w:t xml:space="preserve">Tick-Level Research Findings</w:t>
      </w:r>
    </w:p>
    <w:p>
      <w:pPr>
        <w:spacing w:after="200"/>
      </w:pPr>
    </w:p>
    <w:p>
      <w:pPr>
        <w:jc w:val="center"/>
      </w:pPr>
      <w:r>
        <w:rPr>
          <w:color w:val="888888"/>
          <w:sz w:val="22"/>
          <w:szCs w:val="22"/>
        </w:rPr>
        <w:t xml:space="preserve">Data: 260 trading days (Feb 2025 – Feb 2026)</w:t>
      </w:r>
    </w:p>
    <w:p>
      <w:pPr>
        <w:jc w:val="center"/>
      </w:pPr>
      <w:r>
        <w:rPr>
          <w:color w:val="888888"/>
          <w:sz w:val="22"/>
          <w:szCs w:val="22"/>
        </w:rPr>
        <w:t xml:space="preserve">Source: Databento tick data, 312 files</w:t>
      </w:r>
    </w:p>
    <w:p>
      <w:pPr>
        <w:spacing w:after="400"/>
        <w:jc w:val="center"/>
      </w:pPr>
      <w:r>
        <w:rPr>
          <w:color w:val="888888"/>
          <w:sz w:val="22"/>
          <w:szCs w:val="22"/>
        </w:rPr>
        <w:t xml:space="preserve">Compiled: March 2026</w:t>
      </w:r>
    </w:p>
    <w:p>
      <w:r>
        <w:br w:type="page"/>
      </w:r>
    </w:p>
    <w:p>
      <w:pPr>
        <w:pStyle w:val="Heading1"/>
      </w:pPr>
      <w:r>
        <w:t xml:space="preserve">Executive Summary</w:t>
      </w:r>
    </w:p>
    <w:p>
      <w:pPr>
        <w:spacing w:after="120"/>
      </w:pPr>
      <w:r>
        <w:t xml:space="preserve">The 15S Wick Fade is a mean-reversion strategy on NQ futures that enters at the wick (high/low) of the previous 15-second candle when the current candle breaks through it. This document summarizes tick-level backtest findings across 260 trading days using real Databento tick data to eliminate OHLC bar ambiguity.</w:t>
      </w:r>
    </w:p>
    <w:p>
      <w:pPr>
        <w:spacing w:after="200"/>
      </w:pPr>
    </w:p>
    <w:p>
      <w:pPr>
        <w:pStyle w:val="Heading2"/>
      </w:pPr>
      <w:r>
        <w:t xml:space="preserve">Key Conclusions</w:t>
      </w:r>
    </w:p>
    <w:p>
      <w:pPr>
        <w:pStyle w:val="ListParagraph"/>
        <w:numPr>
          <w:ilvl w:val="0"/>
          <w:numId w:val="2"/>
        </w:numPr>
        <w:spacing w:after="60"/>
      </w:pPr>
      <w:r>
        <w:rPr>
          <w:b/>
          <w:bCs/>
        </w:rPr>
        <w:t xml:space="preserve">Fade is the real edge. </w:t>
      </w:r>
      <w:r>
        <w:t xml:space="preserve">The breakout/flip has zero value across all 216 configurations tested. Every single flip configuration either breaks even or loses money.</w:t>
      </w:r>
    </w:p>
    <w:p>
      <w:pPr>
        <w:pStyle w:val="ListParagraph"/>
        <w:numPr>
          <w:ilvl w:val="0"/>
          <w:numId w:val="2"/>
        </w:numPr>
        <w:spacing w:after="60"/>
      </w:pPr>
      <w:r>
        <w:rPr>
          <w:b/>
          <w:bCs/>
        </w:rPr>
        <w:t xml:space="preserve">Optimal parameters: </w:t>
      </w:r>
      <w:r>
        <w:t xml:space="preserve">4.50pt stop, 10pt target, no flip, 08:30–10:00 CT. This yields 43% WR and $30.89/trade net of commissions.</w:t>
      </w:r>
    </w:p>
    <w:p>
      <w:pPr>
        <w:pStyle w:val="ListParagraph"/>
        <w:numPr>
          <w:ilvl w:val="0"/>
          <w:numId w:val="2"/>
        </w:numPr>
        <w:spacing w:after="60"/>
      </w:pPr>
      <w:r>
        <w:rPr>
          <w:b/>
          <w:bCs/>
        </w:rPr>
        <w:t xml:space="preserve">Wider stops help: </w:t>
      </w:r>
      <w:r>
        <w:t xml:space="preserve">6.75pt stop = 52% WR, $34.37/trade. 4.50pt = 43% WR, $30.89/trade. 2.25pt = 31% WR, $26.37/trade. All profitable, but wider is better per trade.</w:t>
      </w:r>
    </w:p>
    <w:p>
      <w:pPr>
        <w:pStyle w:val="ListParagraph"/>
        <w:numPr>
          <w:ilvl w:val="0"/>
          <w:numId w:val="2"/>
        </w:numPr>
        <w:spacing w:after="60"/>
      </w:pPr>
      <w:r>
        <w:rPr>
          <w:b/>
          <w:bCs/>
        </w:rPr>
        <w:t xml:space="preserve">Enter at the wick. </w:t>
      </w:r>
      <w:r>
        <w:t xml:space="preserve">0 tick offset is optimal. Entering 2 or 4 ticks shy of the wick reduces edge across all metrics.</w:t>
      </w:r>
    </w:p>
    <w:p>
      <w:pPr>
        <w:pStyle w:val="ListParagraph"/>
        <w:numPr>
          <w:ilvl w:val="0"/>
          <w:numId w:val="2"/>
        </w:numPr>
        <w:spacing w:after="60"/>
      </w:pPr>
      <w:r>
        <w:rPr>
          <w:b/>
          <w:bCs/>
        </w:rPr>
        <w:t xml:space="preserve">92.4% snap-back rate </w:t>
      </w:r>
      <w:r>
        <w:t xml:space="preserve">within the same 15-second candle. Median break past the wick is only 3.00pt (12 ticks). The fade works because most breaks reverse quickly.</w:t>
      </w:r>
    </w:p>
    <w:p>
      <w:pPr>
        <w:pStyle w:val="ListParagraph"/>
        <w:numPr>
          <w:ilvl w:val="0"/>
          <w:numId w:val="2"/>
        </w:numPr>
        <w:spacing w:after="60"/>
      </w:pPr>
      <w:r>
        <w:rPr>
          <w:b/>
          <w:bCs/>
        </w:rPr>
        <w:t xml:space="preserve">Morning is best. </w:t>
      </w:r>
      <w:r>
        <w:t xml:space="preserve">08:30–09:15 CT is the strongest 45-minute window at $33.49/trade. The edge persists but softens through 11:00 CT.</w:t>
      </w:r>
    </w:p>
    <w:p>
      <w:r>
        <w:br w:type="page"/>
      </w:r>
    </w:p>
    <w:p>
      <w:pPr>
        <w:pStyle w:val="Heading1"/>
      </w:pPr>
      <w:r>
        <w:t xml:space="preserve">1. The OHLC Ambiguity Problem</w:t>
      </w:r>
    </w:p>
    <w:p>
      <w:pPr>
        <w:spacing w:after="120"/>
      </w:pPr>
      <w:r>
        <w:t xml:space="preserve">Pine Script processes completed bars and cannot know whether the high came before or after the low within a bar. This creates systematic bias in backtesting the fade/flip strategy.</w:t>
      </w:r>
    </w:p>
    <w:p>
      <w:pPr>
        <w:spacing w:after="200"/>
      </w:pPr>
    </w:p>
    <w:p>
      <w:pPr>
        <w:pStyle w:val="Heading2"/>
      </w:pPr>
      <w:r>
        <w:t xml:space="preserve">Bug History</w:t>
      </w:r>
    </w:p>
    <w:p>
      <w:pPr>
        <w:spacing w:after="120"/>
      </w:pPr>
      <w:r>
        <w:rPr>
          <w:b/>
          <w:bCs/>
        </w:rPr>
        <w:t xml:space="preserve">v58 → v59: Target-on-entry-bar bug. </w:t>
      </w:r>
      <w:r>
        <w:t xml:space="preserve">The target check had no is_entry_bar guard, allowing phantom flip wins on the same bar as flip entry using already-known bar high/low. Fixed by adding "not is_entry_bar" to both tgt_in checks.</w:t>
      </w:r>
    </w:p>
    <w:p>
      <w:pPr>
        <w:spacing w:after="200"/>
      </w:pPr>
    </w:p>
    <w:p>
      <w:pPr>
        <w:spacing w:after="120"/>
      </w:pPr>
      <w:r>
        <w:rPr>
          <w:b/>
          <w:bCs/>
        </w:rPr>
        <w:t xml:space="preserve">v59 → v60: Flip entry-bar free pass. </w:t>
      </w:r>
      <w:r>
        <w:t xml:space="preserve">Even after v59, flips got a free pass on their entry bar — neither stop nor target could trigger. The fade’s stop often triggered on a bar where the low was already below the flip’s stop level, but the code gave the flip a free ride. Fixed by changing is_entry_bar to "protect = is_entry_bar and t_is_fade" so only fades get entry-bar protection.</w:t>
      </w:r>
    </w:p>
    <w:p>
      <w:pPr>
        <w:spacing w:after="200"/>
      </w:pPr>
    </w:p>
    <w:p>
      <w:pPr>
        <w:pStyle w:val="Heading2"/>
      </w:pPr>
      <w:r>
        <w:t xml:space="preserve">Win Rate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212"/>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Flip Win Rate</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Pine v58 (original)</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84%</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Pine v59 (target fix)</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56%</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Pine v60 (flip fix)</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36%</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Tick-level ground truth</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20.4%</w:t>
            </w:r>
          </w:p>
        </w:tc>
      </w:tr>
    </w:tbl>
    <w:p>
      <w:pPr>
        <w:spacing w:after="200"/>
      </w:pPr>
    </w:p>
    <w:p>
      <w:pPr>
        <w:spacing w:after="120"/>
      </w:pPr>
      <w:r>
        <w:t xml:space="preserve">Even v60 still inflated the flip WR to 36% due to remaining structural OHLC bias: the fade’s entry-bar protection filters out weak breakouts, leaving only strong ones for the flip to inherit. Only tick-level data reveals the true 20.4% flip WR.</w:t>
      </w:r>
    </w:p>
    <w:p>
      <w:r>
        <w:br w:type="page"/>
      </w:r>
    </w:p>
    <w:p>
      <w:pPr>
        <w:pStyle w:val="Heading1"/>
      </w:pPr>
      <w:r>
        <w:t xml:space="preserve">2. Fade vs. Flip — Head to Head</w:t>
      </w:r>
    </w:p>
    <w:p>
      <w:pPr>
        <w:spacing w:after="120"/>
      </w:pPr>
      <w:r>
        <w:t xml:space="preserve">Using real tick sequence data, the fade dramatically outperforms the flip on every metric.</w:t>
      </w:r>
    </w:p>
    <w:p>
      <w:pPr>
        <w:spacing w:after="200"/>
      </w:pPr>
    </w:p>
    <w:p>
      <w:pPr>
        <w:pStyle w:val="Heading2"/>
      </w:pPr>
      <w:r>
        <w:t xml:space="preserve">Tick-Level Results (2.25pt Stop, 10pt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Fade</w:t>
            </w:r>
          </w:p>
        </w:tc>
        <w:tc>
          <w:tcPr>
            <w:tcW w:type="dxa" w:w="2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Flip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Trades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44,853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27,782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Win Rate</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31.7%</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20.4%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Avg 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+0.730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+0.117</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Gross P&amp;L</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$1,350,000</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$147,000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$30.12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$5.29</w:t>
            </w:r>
          </w:p>
        </w:tc>
      </w:tr>
    </w:tbl>
    <w:p>
      <w:pPr>
        <w:spacing w:after="200"/>
      </w:pPr>
    </w:p>
    <w:p>
      <w:pPr>
        <w:spacing w:after="120"/>
      </w:pPr>
      <w:r>
        <w:t xml:space="preserve">The flip adds only $3.02 per flip in marginal value — essentially noise. And this is the best-case scenario for the flip (2.25pt stop with same 10pt target).</w:t>
      </w:r>
    </w:p>
    <w:p>
      <w:pPr>
        <w:spacing w:after="200"/>
      </w:pPr>
    </w:p>
    <w:p>
      <w:pPr>
        <w:pStyle w:val="Heading2"/>
      </w:pPr>
      <w:r>
        <w:t xml:space="preserve">Inverted R:R Flip Meta-Analysis</w:t>
      </w:r>
    </w:p>
    <w:p>
      <w:pPr>
        <w:spacing w:after="120"/>
      </w:pPr>
      <w:r>
        <w:t xml:space="preserve">Tested 216 configurations sweeping: 3 time windows, 2 fade stops, 3 flip stops (5–10pt), 3 flip targets (1–2pt), and 4 max flip counts (1–10).</w:t>
      </w:r>
    </w:p>
    <w:p>
      <w:pPr>
        <w:spacing w:after="200"/>
      </w:pPr>
    </w:p>
    <w:p>
      <w:pPr>
        <w:spacing w:after="120"/>
      </w:pPr>
      <w:r>
        <w:rPr>
          <w:b/>
          <w:bCs/>
        </w:rPr>
        <w:t xml:space="preserve">Result: 0 out of 216 configurations made the flip profitable.</w:t>
      </w:r>
    </w:p>
    <w:p>
      <w:pPr>
        <w:spacing w:after="200"/>
      </w:pPr>
    </w:p>
    <w:p>
      <w:pPr>
        <w:spacing w:after="120"/>
      </w:pPr>
      <w:r>
        <w:t xml:space="preserve">Flip win rates look good on the surface (70–85%), but the math kills it. At 1pt target / 5pt stop, you need &gt;83.3% WR just to break even. No configuration achieves that. More flips = more damage; wider stops = worse.</w:t>
      </w:r>
    </w:p>
    <w:p>
      <w:r>
        <w:br w:type="page"/>
      </w:r>
    </w:p>
    <w:p>
      <w:pPr>
        <w:pStyle w:val="Heading1"/>
      </w:pPr>
      <w:r>
        <w:t xml:space="preserve">3. Stop Width Comparison</w:t>
      </w:r>
    </w:p>
    <w:p>
      <w:pPr>
        <w:spacing w:after="120"/>
      </w:pPr>
      <w:r>
        <w:t xml:space="preserve">Tested three stop widths with a 10pt target across the 08:30–10:00 CT window, fade only (no flip).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Stop Width</w:t>
            </w:r>
          </w:p>
        </w:tc>
        <w:tc>
          <w:tcPr>
            <w:tcW w:type="dxa" w:w="23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Win Rate</w:t>
            </w:r>
          </w:p>
        </w:tc>
        <w:tc>
          <w:tcPr>
            <w:tcW w:type="dxa" w:w="23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w:t>
            </w:r>
          </w:p>
        </w:tc>
        <w:tc>
          <w:tcPr>
            <w:tcW w:type="dxa" w:w="23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Net P&amp;L (260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2.25pt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$26.37</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$1,185,000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4.50pt</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43%</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$30.89</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$1,268,000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6.75pt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$34.37</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$1,296,000</w:t>
            </w:r>
          </w:p>
        </w:tc>
      </w:tr>
    </w:tbl>
    <w:p>
      <w:pPr>
        <w:spacing w:after="200"/>
      </w:pPr>
    </w:p>
    <w:p>
      <w:pPr>
        <w:spacing w:after="120"/>
      </w:pPr>
      <w:r>
        <w:t xml:space="preserve">Wider stops consistently improve both WR and $/trade. The 6.75pt stop is the best per-trade, but the 4.50pt stop offers a good balance between protection and risk.</w:t>
      </w:r>
    </w:p>
    <w:p>
      <w:pPr>
        <w:spacing w:after="200"/>
      </w:pPr>
    </w:p>
    <w:p>
      <w:pPr>
        <w:pStyle w:val="Heading2"/>
      </w:pPr>
      <w:r>
        <w:t xml:space="preserve">Flip at Wider Stops</w:t>
      </w:r>
    </w:p>
    <w:p>
      <w:pPr>
        <w:spacing w:after="120"/>
      </w:pPr>
      <w:r>
        <w:t xml:space="preserve">The flip actively loses money at wider stops:</w:t>
      </w:r>
    </w:p>
    <w:p>
      <w:pPr>
        <w:pStyle w:val="ListParagraph"/>
        <w:numPr>
          <w:ilvl w:val="0"/>
          <w:numId w:val="2"/>
        </w:numPr>
        <w:spacing w:after="60"/>
      </w:pPr>
      <w:r>
        <w:t xml:space="preserve">4.50pt stop: flip gross P&amp;L = -$26,000</w:t>
      </w:r>
    </w:p>
    <w:p>
      <w:pPr>
        <w:pStyle w:val="ListParagraph"/>
        <w:numPr>
          <w:ilvl w:val="0"/>
          <w:numId w:val="2"/>
        </w:numPr>
        <w:spacing w:after="60"/>
      </w:pPr>
      <w:r>
        <w:t xml:space="preserve">6.75pt stop: flip gross P&amp;L = -$191,000</w:t>
      </w:r>
    </w:p>
    <w:p>
      <w:pPr>
        <w:spacing w:after="120"/>
      </w:pPr>
      <w:r>
        <w:t xml:space="preserve">This confirms: wider stops are better for the fade, and the flip should be turned off entirely.</w:t>
      </w:r>
    </w:p>
    <w:p>
      <w:r>
        <w:br w:type="page"/>
      </w:r>
    </w:p>
    <w:p>
      <w:pPr>
        <w:pStyle w:val="Heading1"/>
      </w:pPr>
      <w:r>
        <w:t xml:space="preserve">4. Entry Offset Analysis</w:t>
      </w:r>
    </w:p>
    <w:p>
      <w:pPr>
        <w:spacing w:after="120"/>
      </w:pPr>
      <w:r>
        <w:t xml:space="preserve">Tested entering at the wick vs. 2 or 4 ticks shy of the wick (i.e., entering before price actually reaches the previous bar’s high/low).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Offset</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Net P&amp;L</w:t>
            </w:r>
          </w:p>
        </w:tc>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w:t>
            </w:r>
          </w:p>
        </w:tc>
        <w:tc>
          <w:tcPr>
            <w:tcW w:type="dxa" w:w="2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Win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 ticks (at wick)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$1,434,000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$31.98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43.2%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 ticks shy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$1,389,000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$30.97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4 ticks shy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$1,336,000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$29.79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42.5%</w:t>
            </w:r>
          </w:p>
        </w:tc>
      </w:tr>
    </w:tbl>
    <w:p>
      <w:pPr>
        <w:spacing w:after="200"/>
      </w:pPr>
    </w:p>
    <w:p>
      <w:pPr>
        <w:spacing w:after="120"/>
      </w:pPr>
      <w:r>
        <w:t xml:space="preserve">Entering at the wick itself is optimal. Entering 2–4 ticks shy reduces performance because you’re giving up fills on trades that would have touched the wick but not gone further. The wick is the natural support/resistance level — entering there captures the most mean-reversion trades.</w:t>
      </w:r>
    </w:p>
    <w:p>
      <w:r>
        <w:br w:type="page"/>
      </w:r>
    </w:p>
    <w:p>
      <w:pPr>
        <w:pStyle w:val="Heading1"/>
      </w:pPr>
      <w:r>
        <w:t xml:space="preserve">5. Same-Bar Break Statistics</w:t>
      </w:r>
    </w:p>
    <w:p>
      <w:pPr>
        <w:spacing w:after="120"/>
      </w:pPr>
      <w:r>
        <w:t xml:space="preserve">Analyzed 46,245 clean wick breaks within the same 15-second candle to understand the anatomy of the fade setup.</w:t>
      </w:r>
    </w:p>
    <w:p>
      <w:pPr>
        <w:spacing w:after="200"/>
      </w:pPr>
    </w:p>
    <w:p>
      <w:pPr>
        <w:pStyle w:val="Heading2"/>
      </w:pPr>
      <w:r>
        <w:t xml:space="preserve">Break Excursion Past Wick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Percentile</w:t>
            </w:r>
          </w:p>
        </w:tc>
        <w:tc>
          <w:tcPr>
            <w:tcW w:type="dxa" w:w="46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Distance Past Wick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Median (50th)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3.00pt (12 ticks)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75th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5.25pt (21 ticks)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85th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7.75pt (31 ticks)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90th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9.25pt (37 ticks)</w:t>
            </w:r>
          </w:p>
        </w:tc>
      </w:tr>
    </w:tbl>
    <w:p>
      <w:pPr>
        <w:spacing w:after="200"/>
      </w:pPr>
    </w:p>
    <w:p>
      <w:pPr>
        <w:pStyle w:val="Heading2"/>
      </w:pPr>
      <w:r>
        <w:t xml:space="preserve">Snap-Back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12"/>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Snap-back rate</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92.4%</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Median snap-back continuation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2.50pt (10 ticks)</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75th percentile reach</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At least 1.00pt</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85th percentile reach</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At least 0.50pt</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Bar close vs wick side</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47.3% close on snap-back side</w:t>
            </w:r>
          </w:p>
        </w:tc>
      </w:tr>
    </w:tbl>
    <w:p>
      <w:pPr>
        <w:spacing w:after="200"/>
      </w:pPr>
    </w:p>
    <w:p>
      <w:pPr>
        <w:spacing w:after="120"/>
      </w:pPr>
      <w:r>
        <w:t xml:space="preserve">The core edge: 92% of wick breaks snap back within the same 15-second bar, but the median snap-back is only 2.50pt. The real profit comes from holding through multiple bars as the fade continues to work. This is why the 10pt target works — it captures the extended mean-reversion move, not just the initial snap-back.</w:t>
      </w:r>
    </w:p>
    <w:p>
      <w:r>
        <w:br w:type="page"/>
      </w:r>
    </w:p>
    <w:p>
      <w:pPr>
        <w:pStyle w:val="Heading1"/>
      </w:pPr>
      <w:r>
        <w:t xml:space="preserve">6. Time-of-Day Analysis</w:t>
      </w:r>
    </w:p>
    <w:p>
      <w:pPr>
        <w:spacing w:after="120"/>
      </w:pPr>
      <w:r>
        <w:t xml:space="preserve">Analyzed fade performance across 08:00–11:00 CT in 15-minute buckets using 4.50pt stop and 10pt target, fade only.</w:t>
      </w:r>
    </w:p>
    <w:p>
      <w:pPr>
        <w:spacing w:after="200"/>
      </w:pPr>
    </w:p>
    <w:p>
      <w:pPr>
        <w:pStyle w:val="Heading2"/>
      </w:pPr>
      <w:r>
        <w:t xml:space="preserve">15-Minute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900"/>
        <w:gridCol w:w="22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Window (CT)</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Trades</w:t>
            </w:r>
          </w:p>
        </w:tc>
        <w:tc>
          <w:tcPr>
            <w:tcW w:type="dxa" w:w="1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Win Rate</w:t>
            </w:r>
          </w:p>
        </w:tc>
        <w:tc>
          <w:tcPr>
            <w:tcW w:type="dxa" w:w="19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w:t>
            </w:r>
          </w:p>
        </w:tc>
        <w:tc>
          <w:tcPr>
            <w:tcW w:type="dxa" w:w="22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Net P&amp;L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08:00–08:15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5,090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43.0%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$30.22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$153,805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08:15–08:30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5,266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41.7%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$26.49</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$139,493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08:30–08:45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11,359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$34.61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$393,104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08:45–09:00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10,552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43.7%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$32.36</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$341,476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09:00–09:15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10,175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$33.41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$339,982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09:15–09:30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9,479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41.9%</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$27.08</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$256,694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09:30–09:45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8,958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$29.36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$263,009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09:45–10:00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8,709</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$27.24</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$237,240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10:00–10:15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8,392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41.9%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$26.93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$226,016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10:15–10:30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7,987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$27.32</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$218,178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10:30–10:45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7,941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41.9%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$27.03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$214,650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10:45–11:00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7,468</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42.8%</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$28.00</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$209,104</w:t>
            </w:r>
          </w:p>
        </w:tc>
      </w:tr>
    </w:tbl>
    <w:p>
      <w:pPr>
        <w:spacing w:after="200"/>
      </w:pPr>
    </w:p>
    <w:p>
      <w:pPr>
        <w:spacing w:after="120"/>
      </w:pPr>
      <w:r>
        <w:rPr>
          <w:b/>
          <w:bCs/>
        </w:rPr>
        <w:t xml:space="preserve">Best 15-min bucket: </w:t>
      </w:r>
      <w:r>
        <w:t xml:space="preserve">08:30–08:45 CT at $34.61/trade and 44.5% WR. The first 15 minutes after the cash open is the strongest period.</w:t>
      </w:r>
    </w:p>
    <w:p>
      <w:pPr>
        <w:spacing w:after="200"/>
      </w:pPr>
    </w:p>
    <w:p>
      <w:pPr>
        <w:pStyle w:val="Heading2"/>
      </w:pPr>
      <w:r>
        <w:t xml:space="preserve">Optimal Window Search</w:t>
      </w:r>
    </w:p>
    <w:p>
      <w:pPr>
        <w:spacing w:after="120"/>
      </w:pPr>
      <w:r>
        <w:t xml:space="preserve">Tested all contiguous 15-minute aligned windows (minimum 100 trades):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700"/>
        <w:gridCol w:w="22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Window</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Trades</w:t>
            </w:r>
          </w:p>
        </w:tc>
        <w:tc>
          <w:tcPr>
            <w:tcW w:type="dxa" w:w="1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Win Rate</w:t>
            </w:r>
          </w:p>
        </w:tc>
        <w:tc>
          <w:tcPr>
            <w:tcW w:type="dxa" w:w="1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w:t>
            </w:r>
          </w:p>
        </w:tc>
        <w:tc>
          <w:tcPr>
            <w:tcW w:type="dxa" w:w="22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Net P&amp;L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08:30–08:45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11,359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$34.61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$393,104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08:30–09:00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21,911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$33.53</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$734,580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08:30–09:15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32,086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$33.49</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$1,074,563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09:00–09:15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10,175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44.1%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$33.41</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$339,982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08:45–09:15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20,727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43.9%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$32.88</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$681,458</w:t>
            </w:r>
          </w:p>
        </w:tc>
      </w:tr>
    </w:tbl>
    <w:p>
      <w:pPr>
        <w:spacing w:after="200"/>
      </w:pPr>
    </w:p>
    <w:p>
      <w:pPr>
        <w:spacing w:after="120"/>
      </w:pPr>
      <w:r>
        <w:t xml:space="preserve">08:30–09:15 CT is the best quality window. After 09:15, $/trade drops to ~$27–29 and stays flat through 11:00. The entire 08:00–11:00 range is profitable.</w:t>
      </w:r>
    </w:p>
    <w:p>
      <w:pPr>
        <w:spacing w:after="200"/>
      </w:pPr>
    </w:p>
    <w:p>
      <w:pPr>
        <w:pStyle w:val="Heading2"/>
      </w:pPr>
      <w:r>
        <w:t xml:space="preserve">Day-of-Week Breakdown (08:30–10:00 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900"/>
        <w:gridCol w:w="22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Day</w:t>
            </w:r>
          </w:p>
        </w:tc>
        <w:tc>
          <w:tcPr>
            <w:tcW w:type="dxa" w:w="1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Trades</w:t>
            </w:r>
          </w:p>
        </w:tc>
        <w:tc>
          <w:tcPr>
            <w:tcW w:type="dxa" w:w="17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Win Rate</w:t>
            </w:r>
          </w:p>
        </w:tc>
        <w:tc>
          <w:tcPr>
            <w:tcW w:type="dxa" w:w="19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$/Trade</w:t>
            </w:r>
          </w:p>
        </w:tc>
        <w:tc>
          <w:tcPr>
            <w:tcW w:type="dxa" w:w="22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Net P&amp;L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Monday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11,102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$27.90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$309,801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Tuesday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12,007</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42.8%</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$29.72</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$356,808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Wednesday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12,126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$29.02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$351,943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Thursday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12,002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46.4%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$40.04</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$480,531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Friday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12,003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42.5%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$28.70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18"/>
                <w:szCs w:val="18"/>
              </w:rPr>
              <w:t xml:space="preserve">$344,426</w:t>
            </w:r>
          </w:p>
        </w:tc>
      </w:tr>
    </w:tbl>
    <w:p>
      <w:pPr>
        <w:spacing w:after="200"/>
      </w:pPr>
    </w:p>
    <w:p>
      <w:pPr>
        <w:spacing w:after="120"/>
      </w:pPr>
      <w:r>
        <w:rPr>
          <w:b/>
          <w:bCs/>
        </w:rPr>
        <w:t xml:space="preserve">Thursday stands out </w:t>
      </w:r>
      <w:r>
        <w:t xml:space="preserve">at 46.4% WR and $40.04/trade, well above all other days (~42–43% WR, $28–30/trade). This may relate to weekly economic data releases creating stronger mean-reversion conditions.</w:t>
      </w:r>
    </w:p>
    <w:p>
      <w:r>
        <w:br w:type="page"/>
      </w:r>
    </w:p>
    <w:p>
      <w:pPr>
        <w:pStyle w:val="Heading1"/>
      </w:pPr>
      <w:r>
        <w:t xml:space="preserve">7. Recommended Configuration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c>
          <w:tcPr>
            <w:tcW w:type="dxa" w:w="5148"/>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212"/>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Value</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Strategy</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15S Wick Fade (no flip)</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Stop</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4.50pt (or 6.75pt for higher WR)</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10.00pt</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Entry</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At the wick (0 tick offset)</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 Window</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08:30–10:00 CT (core)</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Sub-Window</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08:30–09:15 CT</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Flip</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OFF — destroys value</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Direction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Both long and short</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Expected WR</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43% (4.50pt stop) / 52% (6.75pt stop)</w:t>
            </w:r>
          </w:p>
        </w:tc>
      </w:tr>
      <w:tr>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Expected $/Trade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$30.89 (4.50pt) / $34.37 (6.75pt)</w:t>
            </w:r>
          </w:p>
        </w:tc>
      </w:tr>
      <w:tr>
        <w:tc>
          <w:tcPr>
            <w:tcW w:type="dxa" w:w="51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 Day</w:t>
            </w:r>
          </w:p>
        </w:tc>
        <w:tc>
          <w:tcPr>
            <w:tcW w:type="dxa" w:w="421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333333"/>
                <w:sz w:val="20"/>
                <w:szCs w:val="20"/>
              </w:rPr>
              <w:t xml:space="preserve">Thursday ($40/trade)</w:t>
            </w:r>
          </w:p>
        </w:tc>
      </w:tr>
    </w:tbl>
    <w:p>
      <w:pPr>
        <w:spacing w:after="200"/>
      </w:pPr>
    </w:p>
    <w:p>
      <w:pPr>
        <w:pStyle w:val="Heading2"/>
      </w:pPr>
      <w:r>
        <w:t xml:space="preserve">Risk Notes</w:t>
      </w:r>
    </w:p>
    <w:p>
      <w:pPr>
        <w:pStyle w:val="ListParagraph"/>
        <w:numPr>
          <w:ilvl w:val="0"/>
          <w:numId w:val="2"/>
        </w:numPr>
        <w:spacing w:after="60"/>
      </w:pPr>
      <w:r>
        <w:t xml:space="preserve">Commission assumed at $4.50 round-trip. Adjust for your actual Rithmic rate.</w:t>
      </w:r>
    </w:p>
    <w:p>
      <w:pPr>
        <w:pStyle w:val="ListParagraph"/>
        <w:numPr>
          <w:ilvl w:val="0"/>
          <w:numId w:val="2"/>
        </w:numPr>
        <w:spacing w:after="60"/>
      </w:pPr>
      <w:r>
        <w:t xml:space="preserve">These results are gross of slippage. Real execution may differ, especially in fast markets.</w:t>
      </w:r>
    </w:p>
    <w:p>
      <w:pPr>
        <w:pStyle w:val="ListParagraph"/>
        <w:numPr>
          <w:ilvl w:val="0"/>
          <w:numId w:val="2"/>
        </w:numPr>
        <w:spacing w:after="60"/>
      </w:pPr>
      <w:r>
        <w:t xml:space="preserve">260 days is a solid sample but covers only one year. Regime changes (vol shifts, trend/chop cycles) could affect forward performance.</w:t>
      </w:r>
    </w:p>
    <w:p>
      <w:pPr>
        <w:pStyle w:val="ListParagraph"/>
        <w:numPr>
          <w:ilvl w:val="0"/>
          <w:numId w:val="2"/>
        </w:numPr>
        <w:spacing w:after="60"/>
      </w:pPr>
      <w:r>
        <w:t xml:space="preserve">The 10pt target means many trades take multiple bars to resolve. Be prepared to hold through drawdowns.</w:t>
      </w:r>
    </w:p>
    <w:p>
      <w:pPr>
        <w:pStyle w:val="ListParagraph"/>
        <w:numPr>
          <w:ilvl w:val="0"/>
          <w:numId w:val="2"/>
        </w:numPr>
        <w:spacing w:after="60"/>
      </w:pPr>
      <w:r>
        <w:t xml:space="preserve">Thursday outperformance is a pattern worth monitoring but may not persist.</w:t>
      </w:r>
    </w:p>
    <w:p>
      <w:pPr>
        <w:spacing w:after="200"/>
      </w:pPr>
    </w:p>
    <w:p>
      <w:pPr>
        <w:pStyle w:val="Heading2"/>
      </w:pPr>
      <w:r>
        <w:t xml:space="preserve">Scripts Used</w:t>
      </w:r>
    </w:p>
    <w:p>
      <w:pPr>
        <w:pStyle w:val="ListParagraph"/>
        <w:numPr>
          <w:ilvl w:val="0"/>
          <w:numId w:val="2"/>
        </w:numPr>
        <w:spacing w:after="60"/>
      </w:pPr>
      <w:r>
        <w:t xml:space="preserve">tick_fade_flip_backtest.py — Core tick-level backtest (fade + flip comparison)</w:t>
      </w:r>
    </w:p>
    <w:p>
      <w:pPr>
        <w:pStyle w:val="ListParagraph"/>
        <w:numPr>
          <w:ilvl w:val="0"/>
          <w:numId w:val="2"/>
        </w:numPr>
        <w:spacing w:after="60"/>
      </w:pPr>
      <w:r>
        <w:t xml:space="preserve">tick_offset_backtest.py — Wick entry offset comparison (0, 2, 4 ticks)</w:t>
      </w:r>
    </w:p>
    <w:p>
      <w:pPr>
        <w:pStyle w:val="ListParagraph"/>
        <w:numPr>
          <w:ilvl w:val="0"/>
          <w:numId w:val="2"/>
        </w:numPr>
        <w:spacing w:after="60"/>
      </w:pPr>
      <w:r>
        <w:t xml:space="preserve">tick_stop_width_backtest.py — Stop width comparison (2.25, 4.50, 6.75pt)</w:t>
      </w:r>
    </w:p>
    <w:p>
      <w:pPr>
        <w:pStyle w:val="ListParagraph"/>
        <w:numPr>
          <w:ilvl w:val="0"/>
          <w:numId w:val="2"/>
        </w:numPr>
        <w:spacing w:after="60"/>
      </w:pPr>
      <w:r>
        <w:t xml:space="preserve">tick_flip_meta3.py — 216-config inverted R:R flip meta-analysis</w:t>
      </w:r>
    </w:p>
    <w:p>
      <w:pPr>
        <w:pStyle w:val="ListParagraph"/>
        <w:numPr>
          <w:ilvl w:val="0"/>
          <w:numId w:val="2"/>
        </w:numPr>
        <w:spacing w:after="60"/>
      </w:pPr>
      <w:r>
        <w:t xml:space="preserve">tick_break_same_bar.py — Same-bar break excursion + snap-back analysis</w:t>
      </w:r>
    </w:p>
    <w:p>
      <w:pPr>
        <w:pStyle w:val="ListParagraph"/>
        <w:numPr>
          <w:ilvl w:val="0"/>
          <w:numId w:val="2"/>
        </w:numPr>
        <w:spacing w:after="60"/>
      </w:pPr>
      <w:r>
        <w:t xml:space="preserve">tick_fade_time_of_day.py — Time-of-day and day-of-week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15S Wick Fade — Research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579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2026-03-01T01:12:55.605Z</dcterms:created>
  <dcterms:modified xsi:type="dcterms:W3CDTF">2026-03-01T01:12:55.606Z</dcterms:modified>
</cp:coreProperties>
</file>

<file path=docProps/custom.xml><?xml version="1.0" encoding="utf-8"?>
<Properties xmlns="http://schemas.openxmlformats.org/officeDocument/2006/custom-properties" xmlns:vt="http://schemas.openxmlformats.org/officeDocument/2006/docPropsVTypes"/>
</file>