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IFVG Take-Profit Optimization Report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v15.1 Update — March 22, 2026</w:t>
      </w:r>
    </w:p>
    <w:p>
      <w:pPr>
        <w:pBdr>
          <w:bottom w:val="single" w:color="2E75B6" w:sz="12"/>
        </w:pBdr>
        <w:spacing w:after="240"/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The original Tempo IFVG trade management used session-aware partial exits (trim 55% at TP1=17pts, trim 35% at TP2=35pts, 10% runner to session end). After testing 12 exit configurations on 237 identical entry signals across 280 trading days, a simple 1.25R full-exit target was found to more than double performance: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Original partials: +52.2R total, 0.186 R/day, Calmar 2.4</w:t>
      </w:r>
    </w:p>
    <w:p>
      <w:pPr>
        <w:pStyle w:val="ListParagraph"/>
        <w:numPr>
          <w:ilvl w:val="0"/>
          <w:numId w:val="2"/>
        </w:numPr>
        <w:spacing w:after="240" w:before="60"/>
      </w:pPr>
      <w:r>
        <w:t xml:space="preserve">1.25R target: +122.3R total, 0.437 R/day, Calmar 7.9</w:t>
      </w:r>
    </w:p>
    <w:p>
      <w:pPr>
        <w:spacing w:after="240"/>
      </w:pPr>
      <w:r>
        <w:t xml:space="preserve">The v15 NinjaTrader script has been updated with a new IFVGRTarget parameter (default 1.25) while retaining the legacy partial system as a toggle.</w:t>
      </w:r>
    </w:p>
    <w:p>
      <w:pPr>
        <w:pStyle w:val="Heading1"/>
      </w:pPr>
      <w:r>
        <w:t xml:space="preserve">2. Problem: Partial Exit Inefficiency</w:t>
      </w:r>
    </w:p>
    <w:p>
      <w:pPr>
        <w:spacing w:after="240"/>
      </w:pPr>
      <w:r>
        <w:t xml:space="preserve">Trade distribution analysis of original management (237 trades, react=3):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BE_STOP: 150 trades (63%), avg +6.7pts, total +1,009pts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FLATTEN: 14 trades (6%), avg +100.3pts, total +1,404pts — ALL the profit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SOFT_STOP: 32 trades (13%), avg -35.7pts, total -1,144pts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LIQ_BE: 30 trades (13%), avg +4.7pts, total +140pts</w:t>
      </w:r>
    </w:p>
    <w:p>
      <w:pPr>
        <w:pStyle w:val="ListParagraph"/>
        <w:numPr>
          <w:ilvl w:val="0"/>
          <w:numId w:val="2"/>
        </w:numPr>
        <w:spacing w:after="240" w:before="60"/>
      </w:pPr>
      <w:r>
        <w:t xml:space="preserve">EMERGENCY: 11 trades (5%), avg -26.2pts, total -288pts</w:t>
      </w:r>
    </w:p>
    <w:p>
      <w:pPr>
        <w:spacing w:after="240"/>
      </w:pPr>
      <w:r>
        <w:t xml:space="preserve">The strategy was a lottery: 82% WR but most wins were tiny (+5-7pts) while losses were full risk (-33pts). All profit from 6% of trades becoming 100pt+ runners.</w:t>
      </w:r>
    </w:p>
    <w:p>
      <w:pPr>
        <w:pStyle w:val="Heading1"/>
      </w:pPr>
      <w:r>
        <w:t xml:space="preserve">3. Initial R-Target Comparison</w:t>
      </w:r>
    </w:p>
    <w:p>
      <w:pPr>
        <w:spacing w:after="240"/>
      </w:pPr>
      <w:tbl>
        <w:tblPr>
          <w:tblW w:type="dxa" w:w="9360"/>
          <w:tblBorders>
            <w:top w:val="single" w:color="auto" w:sz="4"/>
            <w:left w:val="single" w:color="auto" w:sz="4"/>
            <w:bottom w:val="single" w:color="auto" w:sz="4"/>
            <w:right w:val="single" w:color="auto" w:sz="4"/>
            <w:insideH w:val="single" w:color="auto" w:sz="4"/>
            <w:insideV w:val="single" w:color="auto" w:sz="4"/>
          </w:tblBorders>
        </w:tblPr>
        <w:tblGrid>
          <w:gridCol w:w="1512"/>
          <w:gridCol w:w="960"/>
          <w:gridCol w:w="960"/>
          <w:gridCol w:w="1200"/>
          <w:gridCol w:w="1020"/>
          <w:gridCol w:w="1020"/>
          <w:gridCol w:w="900"/>
          <w:gridCol w:w="810"/>
        </w:tblGrid>
        <w:tr>
          <w:tc>
            <w:tcPr>
              <w:tcW w:type="dxa" w:w="1080"/>
              <w:tcBorders>
                <w:top w:val="single" w:color="2E75B6" w:sz="2"/>
                <w:left w:val="single" w:color="CCCCCC" w:sz="1"/>
                <w:bottom w:val="single" w:color="2E75B6" w:sz="2"/>
                <w:right w:val="single" w:color="CCCCCC" w:sz="1"/>
              </w:tcBorders>
              <w:shd w:fill="2E75B6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/>
                  <w:bCs/>
                  <w:color w:val="FFFFFF"/>
                  <w:sz w:val="20"/>
                  <w:szCs w:val="20"/>
                </w:rPr>
                <w:t xml:space="preserve">Config</w:t>
              </w:r>
            </w:p>
          </w:tc>
          <w:tc>
            <w:tcPr>
              <w:tcW w:type="dxa" w:w="1080"/>
              <w:tcBorders>
                <w:top w:val="single" w:color="2E75B6" w:sz="2"/>
                <w:left w:val="single" w:color="CCCCCC" w:sz="1"/>
                <w:bottom w:val="single" w:color="2E75B6" w:sz="2"/>
                <w:right w:val="single" w:color="CCCCCC" w:sz="1"/>
              </w:tcBorders>
              <w:shd w:fill="2E75B6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/>
                  <w:bCs/>
                  <w:color w:val="FFFFFF"/>
                  <w:sz w:val="20"/>
                  <w:szCs w:val="20"/>
                </w:rPr>
                <w:t xml:space="preserve">WR</w:t>
              </w:r>
            </w:p>
          </w:tc>
          <w:tc>
            <w:tcPr>
              <w:tcW w:type="dxa" w:w="1080"/>
              <w:tcBorders>
                <w:top w:val="single" w:color="2E75B6" w:sz="2"/>
                <w:left w:val="single" w:color="CCCCCC" w:sz="1"/>
                <w:bottom w:val="single" w:color="2E75B6" w:sz="2"/>
                <w:right w:val="single" w:color="CCCCCC" w:sz="1"/>
              </w:tcBorders>
              <w:shd w:fill="2E75B6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/>
                  <w:bCs/>
                  <w:color w:val="FFFFFF"/>
                  <w:sz w:val="20"/>
                  <w:szCs w:val="20"/>
                </w:rPr>
                <w:t xml:space="preserve">PF</w:t>
              </w:r>
            </w:p>
          </w:tc>
          <w:tc>
            <w:tcPr>
              <w:tcW w:type="dxa" w:w="1080"/>
              <w:tcBorders>
                <w:top w:val="single" w:color="2E75B6" w:sz="2"/>
                <w:left w:val="single" w:color="CCCCCC" w:sz="1"/>
                <w:bottom w:val="single" w:color="2E75B6" w:sz="2"/>
                <w:right w:val="single" w:color="CCCCCC" w:sz="1"/>
              </w:tcBorders>
              <w:shd w:fill="2E75B6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/>
                  <w:bCs/>
                  <w:color w:val="FFFFFF"/>
                  <w:sz w:val="20"/>
                  <w:szCs w:val="20"/>
                </w:rPr>
                <w:t xml:space="preserve">Total Pts</w:t>
              </w:r>
            </w:p>
          </w:tc>
          <w:tc>
            <w:tcPr>
              <w:tcW w:type="dxa" w:w="1080"/>
              <w:tcBorders>
                <w:top w:val="single" w:color="2E75B6" w:sz="2"/>
                <w:left w:val="single" w:color="CCCCCC" w:sz="1"/>
                <w:bottom w:val="single" w:color="2E75B6" w:sz="2"/>
                <w:right w:val="single" w:color="CCCCCC" w:sz="1"/>
              </w:tcBorders>
              <w:shd w:fill="2E75B6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/>
                  <w:bCs/>
                  <w:color w:val="FFFFFF"/>
                  <w:sz w:val="20"/>
                  <w:szCs w:val="20"/>
                </w:rPr>
                <w:t xml:space="preserve">R/day</w:t>
              </w:r>
            </w:p>
          </w:tc>
          <w:tc>
            <w:tcPr>
              <w:tcW w:type="dxa" w:w="1080"/>
              <w:tcBorders>
                <w:top w:val="single" w:color="2E75B6" w:sz="2"/>
                <w:left w:val="single" w:color="CCCCCC" w:sz="1"/>
                <w:bottom w:val="single" w:color="2E75B6" w:sz="2"/>
                <w:right w:val="single" w:color="CCCCCC" w:sz="1"/>
              </w:tcBorders>
              <w:shd w:fill="2E75B6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/>
                  <w:bCs/>
                  <w:color w:val="FFFFFF"/>
                  <w:sz w:val="20"/>
                  <w:szCs w:val="20"/>
                </w:rPr>
                <w:t xml:space="preserve">R/trade</w:t>
              </w:r>
            </w:p>
          </w:tc>
          <w:tc>
            <w:tcPr>
              <w:tcW w:type="dxa" w:w="1080"/>
              <w:tcBorders>
                <w:top w:val="single" w:color="2E75B6" w:sz="2"/>
                <w:left w:val="single" w:color="CCCCCC" w:sz="1"/>
                <w:bottom w:val="single" w:color="2E75B6" w:sz="2"/>
                <w:right w:val="single" w:color="CCCCCC" w:sz="1"/>
              </w:tcBorders>
              <w:shd w:fill="2E75B6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/>
                  <w:bCs/>
                  <w:color w:val="FFFFFF"/>
                  <w:sz w:val="20"/>
                  <w:szCs w:val="20"/>
                </w:rPr>
                <w:t xml:space="preserve">Max DD</w:t>
              </w:r>
            </w:p>
          </w:tc>
          <w:tc>
            <w:tcPr>
              <w:tcW w:type="dxa" w:w="1080"/>
              <w:tcBorders>
                <w:top w:val="single" w:color="2E75B6" w:sz="2"/>
                <w:left w:val="single" w:color="CCCCCC" w:sz="1"/>
                <w:bottom w:val="single" w:color="2E75B6" w:sz="2"/>
                <w:right w:val="single" w:color="CCCCCC" w:sz="1"/>
              </w:tcBorders>
              <w:shd w:fill="2E75B6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/>
                  <w:bCs/>
                  <w:color w:val="FFFFFF"/>
                  <w:sz w:val="20"/>
                  <w:szCs w:val="20"/>
                </w:rPr>
                <w:t xml:space="preserve">Calmar</w:t>
              </w:r>
            </w:p>
          </w:tc>
        </w:tr>
        <w:tr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Original (partials+runner)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69.2%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1.78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+1,121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+0.186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+0.220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467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2.4</w:t>
              </w:r>
            </w:p>
          </w:tc>
        </w:tr>
        <w:tr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100% at TP1 (17pts)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74.7%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1.54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+1,025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+0.216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+0.255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410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2.5</w:t>
              </w:r>
            </w:p>
          </w:tc>
        </w:tr>
        <w:tr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100% at 1R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74.3%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2.05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+2,292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+0.357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+0.422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333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6.9</w:t>
              </w:r>
            </w:p>
          </w:tc>
        </w:tr>
        <w:tr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100% at 2R + B/E@1R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35.4%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1.98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+2,138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+0.346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+0.408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305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7.0</w:t>
              </w:r>
            </w:p>
          </w:tc>
        </w:tr>
        <w:tr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100% at 3R + B/E@1R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18.6%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1.60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+1,316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+0.225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+0.266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424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3.1</w:t>
              </w:r>
            </w:p>
          </w:tc>
        </w:tr>
      </w:tbl>
    </w:p>
    <w:p>
      <w:pPr>
        <w:pStyle w:val="Heading1"/>
      </w:pPr>
      <w:r>
        <w:t xml:space="preserve">4. Fine-Grained Sweep</w:t>
      </w:r>
    </w:p>
    <w:p>
      <w:pPr>
        <w:spacing w:after="240"/>
      </w:pPr>
      <w:tbl>
        <w:tblPr>
          <w:tblW w:type="dxa" w:w="9360"/>
          <w:tblBorders>
            <w:top w:val="single" w:color="auto" w:sz="4"/>
            <w:left w:val="single" w:color="auto" w:sz="4"/>
            <w:bottom w:val="single" w:color="auto" w:sz="4"/>
            <w:right w:val="single" w:color="auto" w:sz="4"/>
            <w:insideH w:val="single" w:color="auto" w:sz="4"/>
            <w:insideV w:val="single" w:color="auto" w:sz="4"/>
          </w:tblBorders>
        </w:tblPr>
        <w:tblGrid>
          <w:gridCol w:w="1152"/>
          <w:gridCol w:w="960"/>
          <w:gridCol w:w="960"/>
          <w:gridCol w:w="1200"/>
          <w:gridCol w:w="1020"/>
          <w:gridCol w:w="1020"/>
          <w:gridCol w:w="900"/>
          <w:gridCol w:w="810"/>
        </w:tblGrid>
        <w:tr>
          <w:tc>
            <w:tcPr>
              <w:tcW w:type="dxa" w:w="1080"/>
              <w:tcBorders>
                <w:top w:val="single" w:color="2E75B6" w:sz="2"/>
                <w:left w:val="single" w:color="CCCCCC" w:sz="1"/>
                <w:bottom w:val="single" w:color="2E75B6" w:sz="2"/>
                <w:right w:val="single" w:color="CCCCCC" w:sz="1"/>
              </w:tcBorders>
              <w:shd w:fill="2E75B6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/>
                  <w:bCs/>
                  <w:color w:val="FFFFFF"/>
                  <w:sz w:val="20"/>
                  <w:szCs w:val="20"/>
                </w:rPr>
                <w:t xml:space="preserve">Target</w:t>
              </w:r>
            </w:p>
          </w:tc>
          <w:tc>
            <w:tcPr>
              <w:tcW w:type="dxa" w:w="1080"/>
              <w:tcBorders>
                <w:top w:val="single" w:color="2E75B6" w:sz="2"/>
                <w:left w:val="single" w:color="CCCCCC" w:sz="1"/>
                <w:bottom w:val="single" w:color="2E75B6" w:sz="2"/>
                <w:right w:val="single" w:color="CCCCCC" w:sz="1"/>
              </w:tcBorders>
              <w:shd w:fill="2E75B6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/>
                  <w:bCs/>
                  <w:color w:val="FFFFFF"/>
                  <w:sz w:val="20"/>
                  <w:szCs w:val="20"/>
                </w:rPr>
                <w:t xml:space="preserve">WR</w:t>
              </w:r>
            </w:p>
          </w:tc>
          <w:tc>
            <w:tcPr>
              <w:tcW w:type="dxa" w:w="1080"/>
              <w:tcBorders>
                <w:top w:val="single" w:color="2E75B6" w:sz="2"/>
                <w:left w:val="single" w:color="CCCCCC" w:sz="1"/>
                <w:bottom w:val="single" w:color="2E75B6" w:sz="2"/>
                <w:right w:val="single" w:color="CCCCCC" w:sz="1"/>
              </w:tcBorders>
              <w:shd w:fill="2E75B6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/>
                  <w:bCs/>
                  <w:color w:val="FFFFFF"/>
                  <w:sz w:val="20"/>
                  <w:szCs w:val="20"/>
                </w:rPr>
                <w:t xml:space="preserve">PF</w:t>
              </w:r>
            </w:p>
          </w:tc>
          <w:tc>
            <w:tcPr>
              <w:tcW w:type="dxa" w:w="1080"/>
              <w:tcBorders>
                <w:top w:val="single" w:color="2E75B6" w:sz="2"/>
                <w:left w:val="single" w:color="CCCCCC" w:sz="1"/>
                <w:bottom w:val="single" w:color="2E75B6" w:sz="2"/>
                <w:right w:val="single" w:color="CCCCCC" w:sz="1"/>
              </w:tcBorders>
              <w:shd w:fill="2E75B6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/>
                  <w:bCs/>
                  <w:color w:val="FFFFFF"/>
                  <w:sz w:val="20"/>
                  <w:szCs w:val="20"/>
                </w:rPr>
                <w:t xml:space="preserve">Total Pts</w:t>
              </w:r>
            </w:p>
          </w:tc>
          <w:tc>
            <w:tcPr>
              <w:tcW w:type="dxa" w:w="1080"/>
              <w:tcBorders>
                <w:top w:val="single" w:color="2E75B6" w:sz="2"/>
                <w:left w:val="single" w:color="CCCCCC" w:sz="1"/>
                <w:bottom w:val="single" w:color="2E75B6" w:sz="2"/>
                <w:right w:val="single" w:color="CCCCCC" w:sz="1"/>
              </w:tcBorders>
              <w:shd w:fill="2E75B6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/>
                  <w:bCs/>
                  <w:color w:val="FFFFFF"/>
                  <w:sz w:val="20"/>
                  <w:szCs w:val="20"/>
                </w:rPr>
                <w:t xml:space="preserve">R/day</w:t>
              </w:r>
            </w:p>
          </w:tc>
          <w:tc>
            <w:tcPr>
              <w:tcW w:type="dxa" w:w="1080"/>
              <w:tcBorders>
                <w:top w:val="single" w:color="2E75B6" w:sz="2"/>
                <w:left w:val="single" w:color="CCCCCC" w:sz="1"/>
                <w:bottom w:val="single" w:color="2E75B6" w:sz="2"/>
                <w:right w:val="single" w:color="CCCCCC" w:sz="1"/>
              </w:tcBorders>
              <w:shd w:fill="2E75B6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/>
                  <w:bCs/>
                  <w:color w:val="FFFFFF"/>
                  <w:sz w:val="20"/>
                  <w:szCs w:val="20"/>
                </w:rPr>
                <w:t xml:space="preserve">R/trade</w:t>
              </w:r>
            </w:p>
          </w:tc>
          <w:tc>
            <w:tcPr>
              <w:tcW w:type="dxa" w:w="1080"/>
              <w:tcBorders>
                <w:top w:val="single" w:color="2E75B6" w:sz="2"/>
                <w:left w:val="single" w:color="CCCCCC" w:sz="1"/>
                <w:bottom w:val="single" w:color="2E75B6" w:sz="2"/>
                <w:right w:val="single" w:color="CCCCCC" w:sz="1"/>
              </w:tcBorders>
              <w:shd w:fill="2E75B6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/>
                  <w:bCs/>
                  <w:color w:val="FFFFFF"/>
                  <w:sz w:val="20"/>
                  <w:szCs w:val="20"/>
                </w:rPr>
                <w:t xml:space="preserve">Max DD</w:t>
              </w:r>
            </w:p>
          </w:tc>
          <w:tc>
            <w:tcPr>
              <w:tcW w:type="dxa" w:w="1080"/>
              <w:tcBorders>
                <w:top w:val="single" w:color="2E75B6" w:sz="2"/>
                <w:left w:val="single" w:color="CCCCCC" w:sz="1"/>
                <w:bottom w:val="single" w:color="2E75B6" w:sz="2"/>
                <w:right w:val="single" w:color="CCCCCC" w:sz="1"/>
              </w:tcBorders>
              <w:shd w:fill="2E75B6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/>
                  <w:bCs/>
                  <w:color w:val="FFFFFF"/>
                  <w:sz w:val="20"/>
                  <w:szCs w:val="20"/>
                </w:rPr>
                <w:t xml:space="preserve">Calmar</w:t>
              </w:r>
            </w:p>
          </w:tc>
        </w:tr>
        <w:tr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0.5R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84.0%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1.65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+970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+0.182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+0.215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460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2.1</w:t>
              </w:r>
            </w:p>
          </w:tc>
        </w:tr>
        <w:tr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1.0R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74.3%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2.05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+2,292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+0.357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+0.422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333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6.9</w:t>
              </w:r>
            </w:p>
          </w:tc>
        </w:tr>
        <w:tr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1.2R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70.9%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2.07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+2,642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+0.407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+0.481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374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7.1</w:t>
              </w:r>
            </w:p>
          </w:tc>
        </w:tr>
        <w:tr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FE699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/>
                  <w:bCs/>
                  <w:sz w:val="20"/>
                  <w:szCs w:val="20"/>
                </w:rPr>
                <w:t xml:space="preserve">1.25R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FE699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/>
                  <w:bCs/>
                  <w:sz w:val="20"/>
                  <w:szCs w:val="20"/>
                </w:rPr>
                <w:t xml:space="preserve">70.9%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FE699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/>
                  <w:bCs/>
                  <w:sz w:val="20"/>
                  <w:szCs w:val="20"/>
                </w:rPr>
                <w:t xml:space="preserve">2.16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FE699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/>
                  <w:bCs/>
                  <w:sz w:val="20"/>
                  <w:szCs w:val="20"/>
                </w:rPr>
                <w:t xml:space="preserve">+2,859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FE699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/>
                  <w:bCs/>
                  <w:sz w:val="20"/>
                  <w:szCs w:val="20"/>
                </w:rPr>
                <w:t xml:space="preserve">+0.437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FE699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/>
                  <w:bCs/>
                  <w:sz w:val="20"/>
                  <w:szCs w:val="20"/>
                </w:rPr>
                <w:t xml:space="preserve">+0.516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FE699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/>
                  <w:bCs/>
                  <w:sz w:val="20"/>
                  <w:szCs w:val="20"/>
                </w:rPr>
                <w:t xml:space="preserve">362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FE699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/>
                  <w:bCs/>
                  <w:sz w:val="20"/>
                  <w:szCs w:val="20"/>
                </w:rPr>
                <w:t xml:space="preserve">7.9</w:t>
              </w:r>
            </w:p>
          </w:tc>
        </w:tr>
        <w:tr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1.3R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68.8%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2.01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+2,732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+0.395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+0.466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353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7.7</w:t>
              </w:r>
            </w:p>
          </w:tc>
        </w:tr>
        <w:tr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1.4R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65.8%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1.98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+2,798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+0.389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+0.460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334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8.4</w:t>
              </w:r>
            </w:p>
          </w:tc>
        </w:tr>
        <w:tr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1.5R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64.1%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1.94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+2,879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+0.381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+0.451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315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9.1</w:t>
              </w:r>
            </w:p>
          </w:tc>
        </w:tr>
        <w:tr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1.75R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58.6%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1.81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+2,809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+0.382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+0.452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330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8.5</w:t>
              </w:r>
            </w:p>
          </w:tc>
        </w:tr>
        <w:tr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2.0R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53.2%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1.76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+2,883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+0.340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+0.401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360</w:t>
              </w:r>
            </w:p>
          </w:tc>
          <w:tc>
            <w:tcPr>
              <w:tcW w:type="dxa" w:w="108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5F5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 w:val="false"/>
                  <w:bCs w:val="false"/>
                  <w:sz w:val="20"/>
                  <w:szCs w:val="20"/>
                </w:rPr>
                <w:t xml:space="preserve">8.0</w:t>
              </w:r>
            </w:p>
          </w:tc>
        </w:tr>
      </w:tbl>
    </w:p>
    <w:p>
      <w:pPr>
        <w:pStyle w:val="Heading1"/>
      </w:pPr>
      <w:r>
        <w:t xml:space="preserve">5. B/E at 1R Impact</w:t>
      </w:r>
    </w:p>
    <w:p>
      <w:pPr>
        <w:spacing w:after="120"/>
      </w:pPr>
      <w:r>
        <w:t xml:space="preserve">Adding B/E at 1R consistently hurts: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1.25R: 122.3R without B/E vs 100.8R with B/E (-18%)</w:t>
      </w:r>
    </w:p>
    <w:p>
      <w:pPr>
        <w:pStyle w:val="ListParagraph"/>
        <w:numPr>
          <w:ilvl w:val="0"/>
          <w:numId w:val="2"/>
        </w:numPr>
        <w:spacing w:after="240" w:before="60"/>
      </w:pPr>
      <w:r>
        <w:t xml:space="preserve">1.5R: 106.8R without B/E vs 85.1R with B/E (-20%)</w:t>
      </w:r>
    </w:p>
    <w:p>
      <w:pPr>
        <w:spacing w:after="240"/>
      </w:pPr>
      <w:r>
        <w:t xml:space="preserve">B/E converts would-be winners into zero-profit exits before reaching target.</w:t>
      </w:r>
    </w:p>
    <w:p>
      <w:pPr>
        <w:pStyle w:val="Heading1"/>
      </w:pPr>
      <w:r>
        <w:t xml:space="preserve">6. Conclusion: 1.25R Selected</w:t>
      </w:r>
    </w:p>
    <w:p>
      <w:pPr>
        <w:spacing w:after="120"/>
      </w:pPr>
      <w:r>
        <w:t xml:space="preserve">Best R/day (0.437), best R/trade (0.516), best PF (2.16), +155% improvement over original on total R.</w:t>
      </w:r>
    </w:p>
    <w:p>
      <w:pPr>
        <w:spacing w:after="120"/>
      </w:pPr>
      <w:r>
        <w:t xml:space="preserve">Alternative: 1.5R for minimum drawdown (Calmar 9.1).</w:t>
      </w:r>
    </w:p>
    <w:p>
      <w:pPr>
        <w:spacing w:after="240"/>
      </w:pPr>
      <w:r>
        <w:t xml:space="preserve">Implemented in TempoPortfoliov15.cs as IFVGRTarget parameter.</w:t>
      </w:r>
    </w:p>
    <w:p>
      <w:pPr>
        <w:pStyle w:val="Heading1"/>
      </w:pPr>
      <w:r>
        <w:t xml:space="preserve">7. Updated Pipeline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Entry Signal (IFVG + confirmation) → Risk/Reward calculation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Position opened at entry price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Hard stop placed at entry - RiskSize</w:t>
      </w:r>
    </w:p>
    <w:p>
      <w:pPr>
        <w:pStyle w:val="ListParagraph"/>
        <w:numPr>
          <w:ilvl w:val="0"/>
          <w:numId w:val="3"/>
        </w:numPr>
        <w:spacing w:after="240" w:before="60"/>
      </w:pPr>
      <w:r>
        <w:t xml:space="preserve">Exit at IFVGRTarget (default 1.25R) or hit hard stop</w:t>
      </w:r>
    </w:p>
    <w:p>
      <w:pPr>
        <w:pageBreakBefore/>
      </w:pPr>
      <w:r>
        <w:t xml:space="preserve"/>
      </w:r>
    </w:p>
    <w:p>
      <w:pPr>
        <w:pStyle w:val="Heading1"/>
        <w:spacing w:after="240"/>
      </w:pPr>
      <w:r>
        <w:t xml:space="preserve">8. Performance Comparison Chart</w:t>
      </w:r>
    </w:p>
    <w:p>
      <w:pPr>
        <w:spacing w:after="240" w:before="120"/>
        <w:jc w:val="center"/>
      </w:pPr>
      <w:r>
        <w:drawing>
          <wp:inline distT="0" distB="0" distL="0" distR="0">
            <wp:extent cx="5238750" cy="3810000"/>
            <wp:effectExtent t="0" r="0" b="0" l="0"/>
            <wp:docPr id="1" name="tp_optimization" descr="Chart comparing R-target configurations" title="Performance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bf7db1c5ce8e23081284e153bf836fdc454c4e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2026-03-22T16:54:43.709Z</dcterms:created>
  <dcterms:modified xsi:type="dcterms:W3CDTF">2026-03-22T16:54:43.709Z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