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TEMPO IFVG V14</w:t>
      </w:r>
    </w:p>
    <w:p>
      <w:pPr>
        <w:spacing w:after="200"/>
        <w:jc w:val="center"/>
      </w:pPr>
      <w:r>
        <w:rPr>
          <w:rFonts w:ascii="Arial" w:cs="Arial" w:eastAsia="Arial" w:hAnsi="Arial"/>
          <w:color w:val="2C3E6B"/>
          <w:sz w:val="32"/>
          <w:szCs w:val="32"/>
        </w:rPr>
        <w:t xml:space="preserve">Tick-Level Audit Report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Post Emergency-Fix + London Session Resolution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NQ Futures — 30 Days (Mar 3 – Apr 4, 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 M60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London Fade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Combined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Trades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105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58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163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Win Rate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70.5%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46.6%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62.0%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Pts/Day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8"/>
                <w:szCs w:val="18"/>
              </w:rPr>
              <w:t xml:space="preserve">+24.5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8"/>
                <w:szCs w:val="18"/>
              </w:rPr>
              <w:t xml:space="preserve">+10.9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8"/>
                <w:szCs w:val="18"/>
              </w:rPr>
              <w:t xml:space="preserve">+31.9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Calmar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5.7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1.2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4.8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Max DD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91.0 pts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203.1 pts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160.7 pts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Positive Days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76%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30%</w:t>
            </w:r>
          </w:p>
        </w:tc>
        <w:tc>
          <w:tcPr>
            <w:tcW w:type="dxa" w:w="2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42%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March 20,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0"/>
          <w:szCs w:val="20"/>
        </w:rPr>
        <w:t xml:space="preserve">This report documents a comprehensive tick-level audit of the Tempo IFVG V14 trading strategy on NQ futures. The audit covers 29 trading days from March 3 to April 4, 2025, using raw Databento tick data for precise stop, take-profit, and break-even tracking.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0"/>
          <w:szCs w:val="20"/>
        </w:rPr>
        <w:t xml:space="preserve">This is a CORRECTED version that supersedes the previous report. The emergency stop bug fix invalidated the prior London breakout findings and the 91% WR / +176 pts/day headline numbers.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Critical Fixes Applied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0"/>
          <w:szCs w:val="20"/>
        </w:rPr>
        <w:t xml:space="preserve">Emergency Stop Bug: For 30 fade trades, the emergency hard stop was on the profit side of entry when price moved significantly between sweep and FVG formation. Fix: max(wick+1, entry+3) for shorts, min(wick-1, entry-3) for longs. The previous report’s London breakout +16.0 pts/day was entirely driven by this bug.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Key Findings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US sessions (NYAM/Lunch/PM) with M60 SMA filter: 105 trades, 70.5% WR, +24.5 pts/day. NYAM is the core performer. Shorts dominate at +39.1 pts/day.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London fade with 1-contract runner: 58 trades, 46.6% WR, +10.9 pts/day. Flatten at 8:30 AM ET. Three runner trades carry 247% of the total PnL.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London breakout: confirmed dead after emergency fix. Uniformly negative across all configurations.</w:t>
      </w:r>
    </w:p>
    <w:p>
      <w:pPr>
        <w:pBdr>
          <w:left w:val="single" w:color="C00000" w:sz="12"/>
        </w:pBdr>
        <w:spacing w:after="120"/>
        <w:ind w:left="2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EOD DEPENDENCE: 4 EOD/flatten trades produce 1,066 pts = 139% of the combined 767 pts total. Non-EOD PnL is -10.3 pts/day.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Pattern Definition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Corrected Sequence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Price moves aggressively toward a key level, creating a 3-bar FVG in the direction of the move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Price sweeps past the key level (wick past, close back inside)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Price reverses and closes back through the pre-existing FVG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Entry at the FVG edge. Soft stop at opposite FVG edge. Emergency hard stop at max(wick±1pt, entry±3pt)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0"/>
          <w:szCs w:val="20"/>
        </w:rPr>
        <w:t xml:space="preserve">CRITICAL: The FVG forms BEFORE the sweep, not after. The previous build spec implemented the wrong sequence.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Key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Available From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PDH / PDL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Previous day high/low</w:t>
            </w:r>
          </w:p>
        </w:tc>
        <w:tc>
          <w:tcPr>
            <w:tcW w:type="dxa" w:w="3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Session start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Asia H/L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Asia session range</w:t>
            </w:r>
          </w:p>
        </w:tc>
        <w:tc>
          <w:tcPr>
            <w:tcW w:type="dxa" w:w="3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Session start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London H/L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London session range</w:t>
            </w:r>
          </w:p>
        </w:tc>
        <w:tc>
          <w:tcPr>
            <w:tcW w:type="dxa" w:w="3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After 8:30 AM ET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AM H/L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Morning session range</w:t>
            </w:r>
          </w:p>
        </w:tc>
        <w:tc>
          <w:tcPr>
            <w:tcW w:type="dxa" w:w="3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After 10:30 AM ET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1H Swing H/L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1-hour swing pivots (lb=3)</w:t>
            </w:r>
          </w:p>
        </w:tc>
        <w:tc>
          <w:tcPr>
            <w:tcW w:type="dxa" w:w="3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Session start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Trade Management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Stop Logic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Soft Stop (primary): Opposite FVG edge. Close-based (1-min bar closes only). Thesis invalidation.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Emergency Hard Stop: max(wick+1pt, entry+3pt) for shorts, min(wick-1pt, entry-3pt) for longs. Tick-based.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After B/E: Hard stop at entry + 1pt buffer (tick-based). Replaces soft stop.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Session-Aware Management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400"/>
        <w:gridCol w:w="900"/>
        <w:gridCol w:w="900"/>
        <w:gridCol w:w="1360"/>
      </w:tblGrid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TP1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TP2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Runner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B/E</w:t>
            </w:r>
          </w:p>
        </w:tc>
        <w:tc>
          <w:tcPr>
            <w:tcW w:type="dxa" w:w="1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Flatten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London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17pt → BE+1pt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None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At TP1</w:t>
            </w:r>
          </w:p>
        </w:tc>
        <w:tc>
          <w:tcPr>
            <w:tcW w:type="dxa" w:w="1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8:30 AM ET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NYAM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30% at +12pt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None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70%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3R</w:t>
            </w:r>
          </w:p>
        </w:tc>
        <w:tc>
          <w:tcPr>
            <w:tcW w:type="dxa" w:w="1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3:55 PM ET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NYLunch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55% at +12pt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35% at +35pt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10%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3R</w:t>
            </w:r>
          </w:p>
        </w:tc>
        <w:tc>
          <w:tcPr>
            <w:tcW w:type="dxa" w:w="1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3:55 PM ET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NYPM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55% at +12pt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35% at +35pt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10%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3R</w:t>
            </w:r>
          </w:p>
        </w:tc>
        <w:tc>
          <w:tcPr>
            <w:tcW w:type="dxa" w:w="1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3:55 PM ET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M60 Filter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0"/>
          <w:szCs w:val="20"/>
        </w:rPr>
        <w:t xml:space="preserve">60-bar SMA on 1-min bars. Only take shorts when price above SMA, longs when below. Essential for US sessions (+24.5 vs +14.2 without). Hurts London performance — OFF for London.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US M60 Strategy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0"/>
          <w:szCs w:val="20"/>
        </w:rPr>
        <w:t xml:space="preserve">105 trades, 70.5% WR, +24.5 pts/day, Calmar 5.7.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Session Breakdown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1400"/>
      </w:tblGrid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Trades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Pts/Day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Calmar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NYAM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42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73.8%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8"/>
                <w:szCs w:val="18"/>
              </w:rPr>
              <w:t xml:space="preserve">+24.8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9.3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NYLunch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23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69.6%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8"/>
                <w:szCs w:val="18"/>
              </w:rPr>
              <w:t xml:space="preserve">+5.6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0.9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NYPM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40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67.5%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8"/>
                <w:szCs w:val="18"/>
              </w:rPr>
              <w:t xml:space="preserve">+0.5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0.1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Source Breakdown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200"/>
        <w:gridCol w:w="1400"/>
      </w:tblGrid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R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Pts/Day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LondonH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76.9%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8"/>
                <w:szCs w:val="18"/>
              </w:rPr>
              <w:t xml:space="preserve">+5.477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8"/>
                <w:szCs w:val="18"/>
              </w:rPr>
              <w:t xml:space="preserve">+45.0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AsiaH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83.3%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8"/>
                <w:szCs w:val="18"/>
              </w:rPr>
              <w:t xml:space="preserve">+0.304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8"/>
                <w:szCs w:val="18"/>
              </w:rPr>
              <w:t xml:space="preserve">+11.0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LondonL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84.6%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8"/>
                <w:szCs w:val="18"/>
              </w:rPr>
              <w:t xml:space="preserve">+0.222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8"/>
                <w:szCs w:val="18"/>
              </w:rPr>
              <w:t xml:space="preserve">+5.2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1HSH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33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63.6%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-0.042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8"/>
                <w:szCs w:val="18"/>
              </w:rPr>
              <w:t xml:space="preserve">+2.9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1HSL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21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71.4%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8"/>
                <w:szCs w:val="18"/>
              </w:rPr>
              <w:t xml:space="preserve">+0.002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8"/>
                <w:szCs w:val="18"/>
              </w:rPr>
              <w:t xml:space="preserve">+1.2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AsiaL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53.8%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-0.008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-10.3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Exit Reasons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600"/>
      </w:tblGrid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Trades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Pts/Day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BE_STOP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73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8"/>
                <w:szCs w:val="18"/>
              </w:rPr>
              <w:t xml:space="preserve">+23.9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EMERGENCY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0%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-22.4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EOD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8"/>
                <w:szCs w:val="18"/>
              </w:rPr>
              <w:t xml:space="preserve">+444.8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SOFT_STOP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0%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-23.4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0"/>
          <w:szCs w:val="20"/>
        </w:rPr>
        <w:t xml:space="preserve">EOD: 1 trade = 445 pts = 86% of US PnL. Non-EOD = +2.4 pts/day.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0"/>
          <w:szCs w:val="20"/>
        </w:rPr>
        <w:t xml:space="preserve">Direction: Shorts +39.1 pts/day. Longs -2.2 pts/day. Daily: 16/21 positive (76%), median +6.8.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London Fade Strategy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0"/>
          <w:szCs w:val="20"/>
        </w:rPr>
        <w:t xml:space="preserve">58 trades, 46.6% WR, +10.9 pts/day, Calmar 1.2.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Source Breakdown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200"/>
        <w:gridCol w:w="1400"/>
      </w:tblGrid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R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Pts/Day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1HSH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23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65.2%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8"/>
                <w:szCs w:val="18"/>
              </w:rPr>
              <w:t xml:space="preserve">+1.089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8"/>
                <w:szCs w:val="18"/>
              </w:rPr>
              <w:t xml:space="preserve">+22.4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AsiaL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50.0%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8"/>
                <w:szCs w:val="18"/>
              </w:rPr>
              <w:t xml:space="preserve">+0.807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8"/>
                <w:szCs w:val="18"/>
              </w:rPr>
              <w:t xml:space="preserve">+25.0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AsiaH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45.5%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-0.582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-6.0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1HSL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14.3%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-0.955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-14.9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Exit Reasons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600"/>
      </w:tblGrid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Trades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Pts/Day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BE_STOP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24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8"/>
                <w:szCs w:val="18"/>
              </w:rPr>
              <w:t xml:space="preserve">+1.2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EMERGENCY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0%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-17.6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EOD (flatten)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8"/>
                <w:szCs w:val="18"/>
              </w:rPr>
              <w:t xml:space="preserve">+310.4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SOFT_STOP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0%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-19.4</w:t>
            </w:r>
          </w:p>
        </w:tc>
      </w:tr>
    </w:tbl>
    <w:p>
      <w:pPr>
        <w:pBdr>
          <w:left w:val="single" w:color="C00000" w:sz="12"/>
        </w:pBdr>
        <w:spacing w:after="120"/>
        <w:ind w:left="2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3 flatten trades = 621 pts = 247% of London PnL. Non-EOD = -12.7 pts/day.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London Breakout: Confirmed Dead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0"/>
          <w:szCs w:val="20"/>
        </w:rPr>
        <w:t xml:space="preserve">Tested across all TP1 distances (8-25pt), BE thresholds, and trailing stops. Uniformly negative (-2 to -5 pts/day). Previous +16.0 pts/day was entirely the emergency stop bug.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 Session Flatten Critical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0"/>
          <w:szCs w:val="20"/>
        </w:rPr>
        <w:t xml:space="preserve">Without 8:30 AM flatten: +10.9 becomes -16.0 pts/day. US price action reverses London runners.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0"/>
          <w:szCs w:val="20"/>
        </w:rPr>
        <w:t xml:space="preserve">Direction: Shorts +10.0 pts/day. Longs +4.2. Daily: 7/23 positive (30%), median -12.7. Two days carry it: 3/12 (+310.9), 3/20 (+287.4).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EOD Dependence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200"/>
        <w:gridCol w:w="1400"/>
      </w:tblGrid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EOD Trades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EOD PnL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Total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Non-EOD/Day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US M60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8"/>
                <w:szCs w:val="18"/>
              </w:rPr>
              <w:t xml:space="preserve">+445 pts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86%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8"/>
                <w:szCs w:val="18"/>
              </w:rPr>
              <w:t xml:space="preserve">+2.4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London Fade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8"/>
                <w:szCs w:val="18"/>
              </w:rPr>
              <w:t xml:space="preserve">+621 pts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247%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-12.7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COMBINED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+1,066 pts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139%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-10.3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0"/>
          <w:szCs w:val="20"/>
        </w:rPr>
        <w:t xml:space="preserve">4 of 163 trades produce 139% of total PnL. The remaining 159 trades lose -10.3 pts/day. The strategy depends on rare large winners still open at flatten time.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Algorithm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4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 M60</w:t>
            </w:r>
          </w:p>
        </w:tc>
        <w:tc>
          <w:tcPr>
            <w:tcW w:type="dxa" w:w="34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London Fade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Entry window</w:t>
            </w:r>
          </w:p>
        </w:tc>
        <w:tc>
          <w:tcPr>
            <w:tcW w:type="dxa" w:w="34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3:00 AM – 3:30 PM ET</w:t>
            </w:r>
          </w:p>
        </w:tc>
        <w:tc>
          <w:tcPr>
            <w:tcW w:type="dxa" w:w="34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3:00 AM – 8:30 AM ET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Flatten</w:t>
            </w:r>
          </w:p>
        </w:tc>
        <w:tc>
          <w:tcPr>
            <w:tcW w:type="dxa" w:w="34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3:55 PM ET</w:t>
            </w:r>
          </w:p>
        </w:tc>
        <w:tc>
          <w:tcPr>
            <w:tcW w:type="dxa" w:w="34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8:30 AM ET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Mode</w:t>
            </w:r>
          </w:p>
        </w:tc>
        <w:tc>
          <w:tcPr>
            <w:tcW w:type="dxa" w:w="34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Fade</w:t>
            </w:r>
          </w:p>
        </w:tc>
        <w:tc>
          <w:tcPr>
            <w:tcW w:type="dxa" w:w="34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Fade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FVG gap</w:t>
            </w:r>
          </w:p>
        </w:tc>
        <w:tc>
          <w:tcPr>
            <w:tcW w:type="dxa" w:w="34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3–20 pts</w:t>
            </w:r>
          </w:p>
        </w:tc>
        <w:tc>
          <w:tcPr>
            <w:tcW w:type="dxa" w:w="34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3–20 pts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TP1</w:t>
            </w:r>
          </w:p>
        </w:tc>
        <w:tc>
          <w:tcPr>
            <w:tcW w:type="dxa" w:w="34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12 pts</w:t>
            </w:r>
          </w:p>
        </w:tc>
        <w:tc>
          <w:tcPr>
            <w:tcW w:type="dxa" w:w="34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17 pts → BE+1pt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TP2</w:t>
            </w:r>
          </w:p>
        </w:tc>
        <w:tc>
          <w:tcPr>
            <w:tcW w:type="dxa" w:w="34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35 pts (Lunch/PM)</w:t>
            </w:r>
          </w:p>
        </w:tc>
        <w:tc>
          <w:tcPr>
            <w:tcW w:type="dxa" w:w="34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B/E trigger</w:t>
            </w:r>
          </w:p>
        </w:tc>
        <w:tc>
          <w:tcPr>
            <w:tcW w:type="dxa" w:w="34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3.0R</w:t>
            </w:r>
          </w:p>
        </w:tc>
        <w:tc>
          <w:tcPr>
            <w:tcW w:type="dxa" w:w="34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At TP1 hit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M60 filter</w:t>
            </w:r>
          </w:p>
        </w:tc>
        <w:tc>
          <w:tcPr>
            <w:tcW w:type="dxa" w:w="34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ON</w:t>
            </w:r>
          </w:p>
        </w:tc>
        <w:tc>
          <w:tcPr>
            <w:tcW w:type="dxa" w:w="34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OFF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Trail</w:t>
            </w:r>
          </w:p>
        </w:tc>
        <w:tc>
          <w:tcPr>
            <w:tcW w:type="dxa" w:w="34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None</w:t>
            </w:r>
          </w:p>
        </w:tc>
        <w:tc>
          <w:tcPr>
            <w:tcW w:type="dxa" w:w="34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None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Risks and Next Steps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8.1 Caveats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30-day sample: 163 trades. Need full year (312 days) for drawdown validation.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EOD dependence: 4 trades = 139% of PnL. Net negative without rare runners.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In-sample optimization: All parameters optimized on the same 30-day window.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Slippage not modeled: Entry assumes fill at FVG edge.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Lumi engine not yet audited in Python. Only IFVG engine covered.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8.2 Next 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Build Lumi engine in Python for combined IFVG+Lumi portfolio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Full year audit (312 days) with optimized parameters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Walk-forward analysis for parameter robustness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Slippage sensitivity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Update NinjaTrader TempoPortfolio V15 with corrected London fade + flatten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8.3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tempo/tempo_v14_audit.py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Main tick-level audit script</w:t>
            </w:r>
          </w:p>
        </w:tc>
      </w:tr>
      <w:tr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tempo/tempo_portfolio_breakdown.xlsx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Per-strategy portfolio spreadsheet</w:t>
            </w:r>
          </w:p>
        </w:tc>
      </w:tr>
      <w:tr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tempo/TEMPO_V14_CORRECTIONS.md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All corrections and post-fix results</w:t>
            </w:r>
          </w:p>
        </w:tc>
      </w:tr>
      <w:tr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results/tempo_v14_tick_audit.csv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Per-trade output (163 trades)</w:t>
            </w:r>
          </w:p>
        </w:tc>
      </w:tr>
      <w:tr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TEMPO_PORTFOLIO_BUILD_SPEC.md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Build spec (IFVG + Lumi)</w:t>
            </w:r>
          </w:p>
        </w:tc>
      </w:tr>
      <w:tr>
        <w:tc>
          <w:tcPr>
            <w:tcW w:type="dxa" w:w="3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TempoPortfoliov14.cs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8"/>
                <w:szCs w:val="18"/>
              </w:rPr>
              <w:t xml:space="preserve">V14 C# NinjaTrader code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3E6B" w:sz="4" w:space="4"/>
      </w:pBdr>
      <w:jc w:val="right"/>
    </w:pPr>
    <w:r>
      <w:rPr>
        <w:rFonts w:ascii="Arial" w:cs="Arial" w:eastAsia="Arial" w:hAnsi="Arial"/>
        <w:i/>
        <w:iCs/>
        <w:color w:val="808080"/>
        <w:sz w:val="16"/>
        <w:szCs w:val="16"/>
      </w:rPr>
      <w:t xml:space="preserve">TEMPO IFVG V14 — Tick-Level Audit Report (Post-Fix)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C3E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2026-03-20T18:21:19.160Z</dcterms:created>
  <dcterms:modified xsi:type="dcterms:W3CDTF">2026-03-20T18:21:19.160Z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