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5C"/>
          <w:sz w:val="56"/>
          <w:szCs w:val="56"/>
        </w:rPr>
        <w:t xml:space="preserve">TEMPO PORTFOLIO</w:t>
      </w:r>
    </w:p>
    <w:p>
      <w:pPr>
        <w:spacing w:after="200"/>
        <w:jc w:val="center"/>
      </w:pPr>
      <w:r>
        <w:rPr>
          <w:rFonts w:ascii="Arial" w:cs="Arial" w:eastAsia="Arial" w:hAnsi="Arial"/>
          <w:color w:val="2E75B6"/>
          <w:sz w:val="32"/>
          <w:szCs w:val="32"/>
        </w:rPr>
        <w:t xml:space="preserve">IFVG MTF Cascade Strategy</w:t>
      </w:r>
    </w:p>
    <w:p>
      <w:pPr>
        <w:pBdr>
          <w:bottom w:val="single" w:color="2E75B6" w:sz="6" w:space="1"/>
        </w:pBdr>
        <w:spacing w:after="600"/>
        <w:jc w:val="center"/>
      </w:pPr>
      <w:r>
        <w:rPr>
          <w:rFonts w:ascii="Arial" w:cs="Arial" w:eastAsia="Arial" w:hAnsi="Arial"/>
          <w:color w:val="666666"/>
          <w:sz w:val="24"/>
          <w:szCs w:val="24"/>
        </w:rPr>
        <w:t xml:space="preserve">IBKR Python Migration — Strategy &amp; Execution Document</w:t>
      </w:r>
    </w:p>
    <w:p>
      <w:pPr>
        <w:spacing w:before="8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Document</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Strategy &amp; Architecture Plan</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Version</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1.0</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Date</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April 2026</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Instrument</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MNQ / NQ (CME Micro/E-mini Nasdaq)</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Brokerage</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Interactive Brokers (IBKR)</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Execution</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Python (ib_insync)</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1B3A5C"/>
                <w:sz w:val="20"/>
                <w:szCs w:val="20"/>
              </w:rPr>
              <w:t xml:space="preserve">Status</w:t>
            </w:r>
          </w:p>
        </w:tc>
        <w:tc>
          <w:tcPr>
            <w:tcW w:type="dxa" w:w="3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555555"/>
                <w:sz w:val="20"/>
                <w:szCs w:val="20"/>
              </w:rPr>
              <w:t xml:space="preserve">Migration from NinjaTrader 8</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3A5C"/>
          <w:sz w:val="32"/>
          <w:szCs w:val="32"/>
        </w:rPr>
        <w:t xml:space="preserve">1. Executive Summary</w:t>
      </w:r>
    </w:p>
    <w:p>
      <w:pPr>
        <w:spacing w:after="160"/>
        <w:jc w:val="left"/>
      </w:pPr>
      <w:r>
        <w:rPr>
          <w:rFonts w:ascii="Arial" w:cs="Arial" w:eastAsia="Arial" w:hAnsi="Arial"/>
          <w:color w:val="333333"/>
          <w:sz w:val="22"/>
          <w:szCs w:val="22"/>
        </w:rPr>
        <w:t xml:space="preserve">This document defines the migration plan for the Tempo Portfolio IFVG strategy from NinjaTrader 8 (C#) to a Python-native execution engine connected directly to Interactive Brokers (IBKR). The migration eliminates an entire class of platform-induced bugs that have caused orphaned positions, phantom trades, and incorrect entry filtering in the NT8 implementation.</w:t>
      </w:r>
    </w:p>
    <w:p>
      <w:pPr>
        <w:pStyle w:val="Heading2"/>
        <w:spacing w:after="120" w:before="240"/>
      </w:pPr>
      <w:r>
        <w:rPr>
          <w:rFonts w:ascii="Arial" w:cs="Arial" w:eastAsia="Arial" w:hAnsi="Arial"/>
          <w:b/>
          <w:bCs/>
          <w:color w:val="1B3A5C"/>
          <w:sz w:val="26"/>
          <w:szCs w:val="26"/>
        </w:rPr>
        <w:t xml:space="preserve">1.1 Why Migrate</w:t>
      </w:r>
    </w:p>
    <w:p>
      <w:pPr>
        <w:spacing w:after="160"/>
        <w:jc w:val="left"/>
      </w:pPr>
      <w:r>
        <w:rPr>
          <w:rFonts w:ascii="Arial" w:cs="Arial" w:eastAsia="Arial" w:hAnsi="Arial"/>
          <w:color w:val="333333"/>
          <w:sz w:val="22"/>
          <w:szCs w:val="22"/>
        </w:rPr>
        <w:t xml:space="preserve">The NinjaTrader 8 implementation has revealed fundamental architectural incompatibilities between NT8’s event-driven callback model and the strategy’s multi-component unmanaged order requirements:</w:t>
      </w:r>
    </w:p>
    <w:p>
      <w:pPr>
        <w:pStyle w:val="ListParagraph"/>
        <w:numPr>
          <w:ilvl w:val="0"/>
          <w:numId w:val="2"/>
        </w:numPr>
        <w:spacing w:after="100"/>
      </w:pPr>
      <w:r>
        <w:rPr>
          <w:rFonts w:ascii="Arial" w:cs="Arial" w:eastAsia="Arial" w:hAnsi="Arial"/>
          <w:color w:val="333333"/>
          <w:sz w:val="22"/>
          <w:szCs w:val="22"/>
        </w:rPr>
        <w:t xml:space="preserve">IsExitOnSessionCloseStrategy cancels working stop/target orders in unmanaged mode, leaving positions without protection when multiple components create a net-zero position on the same instrument.</w:t>
      </w:r>
    </w:p>
    <w:p>
      <w:pPr>
        <w:pStyle w:val="ListParagraph"/>
        <w:numPr>
          <w:ilvl w:val="0"/>
          <w:numId w:val="2"/>
        </w:numPr>
        <w:spacing w:after="100"/>
      </w:pPr>
      <w:r>
        <w:rPr>
          <w:rFonts w:ascii="Arial" w:cs="Arial" w:eastAsia="Arial" w:hAnsi="Arial"/>
          <w:color w:val="333333"/>
          <w:sz w:val="22"/>
          <w:szCs w:val="22"/>
        </w:rPr>
        <w:t xml:space="preserve">Reaction scoring required translating a forward-scanning Python algorithm into NT8’s backward-indexed barsAgo system, introducing a critical scan-direction bug that let low-quality setups through the filter.</w:t>
      </w:r>
    </w:p>
    <w:p>
      <w:pPr>
        <w:pStyle w:val="ListParagraph"/>
        <w:numPr>
          <w:ilvl w:val="0"/>
          <w:numId w:val="2"/>
        </w:numPr>
        <w:spacing w:after="100"/>
      </w:pPr>
      <w:r>
        <w:rPr>
          <w:rFonts w:ascii="Arial" w:cs="Arial" w:eastAsia="Arial" w:hAnsi="Arial"/>
          <w:color w:val="333333"/>
          <w:sz w:val="22"/>
          <w:szCs w:val="22"/>
        </w:rPr>
        <w:t xml:space="preserve">OnExecutionUpdate callback chains create race conditions where stop/target orders depend on fill callbacks that can fire before trade state is fully initialized.</w:t>
      </w:r>
    </w:p>
    <w:p>
      <w:pPr>
        <w:pStyle w:val="ListParagraph"/>
        <w:numPr>
          <w:ilvl w:val="0"/>
          <w:numId w:val="2"/>
        </w:numPr>
        <w:spacing w:after="100"/>
      </w:pPr>
      <w:r>
        <w:rPr>
          <w:rFonts w:ascii="Arial" w:cs="Arial" w:eastAsia="Arial" w:hAnsi="Arial"/>
          <w:color w:val="333333"/>
          <w:sz w:val="22"/>
          <w:szCs w:val="22"/>
        </w:rPr>
        <w:t xml:space="preserve">No native bracket order support in unmanaged mode — entry, stop, and target must be submitted as three separate orders across multiple callbacks, with each link being a potential failure point.</w:t>
      </w:r>
    </w:p>
    <w:p>
      <w:pPr>
        <w:spacing w:after="160"/>
        <w:jc w:val="left"/>
      </w:pPr>
      <w:r>
        <w:rPr>
          <w:rFonts w:ascii="Arial" w:cs="Arial" w:eastAsia="Arial" w:hAnsi="Arial"/>
          <w:color w:val="333333"/>
          <w:sz w:val="22"/>
          <w:szCs w:val="22"/>
        </w:rPr>
        <w:t xml:space="preserve">With a Python-native IBKR executor, the strategy logic runs as direct, sequential code — identical to the backtest engine. Entry, stop, and target are submitted as an atomic bracket order. No translation layer, no callback chains, no platform interference.</w:t>
      </w:r>
    </w:p>
    <w:p>
      <w:pPr>
        <w:pStyle w:val="Heading2"/>
        <w:spacing w:after="120" w:before="240"/>
      </w:pPr>
      <w:r>
        <w:rPr>
          <w:rFonts w:ascii="Arial" w:cs="Arial" w:eastAsia="Arial" w:hAnsi="Arial"/>
          <w:b/>
          <w:bCs/>
          <w:color w:val="1B3A5C"/>
          <w:sz w:val="26"/>
          <w:szCs w:val="26"/>
        </w:rPr>
        <w:t xml:space="preserve">1.2 Backtest Performance (March 2025 –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100"/>
        <w:gridCol w:w="1060"/>
        <w:gridCol w:w="1100"/>
        <w:gridCol w:w="900"/>
        <w:gridCol w:w="1600"/>
      </w:tblGrid>
      <w:tr>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9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Trades</w:t>
            </w:r>
          </w:p>
        </w:tc>
        <w:tc>
          <w:tcPr>
            <w:tcW w:type="dxa" w:w="9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WR%</w:t>
            </w:r>
          </w:p>
        </w:tc>
        <w:tc>
          <w:tcPr>
            <w:tcW w:type="dxa" w:w="11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R</w:t>
            </w:r>
          </w:p>
        </w:tc>
        <w:tc>
          <w:tcPr>
            <w:tcW w:type="dxa" w:w="10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MDD R</w:t>
            </w:r>
          </w:p>
        </w:tc>
        <w:tc>
          <w:tcPr>
            <w:tcW w:type="dxa" w:w="11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Calmar</w:t>
            </w:r>
          </w:p>
        </w:tc>
        <w:tc>
          <w:tcPr>
            <w:tcW w:type="dxa" w:w="9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RT</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Sessions</w:t>
            </w:r>
          </w:p>
        </w:tc>
      </w:tr>
      <w:tr>
        <w:tc>
          <w:tcPr>
            <w:tcW w:type="dxa" w:w="1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C0: 15S Short</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323</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66.3%</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+2,065R</w:t>
            </w:r>
          </w:p>
        </w:tc>
        <w:tc>
          <w:tcPr>
            <w:tcW w:type="dxa" w:w="10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16.0</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0.129</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1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NY_AM, Ldn_Cl, NY_Cl, NY_Op</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C1: 15S Long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196</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56.1%</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+940R</w:t>
            </w:r>
          </w:p>
        </w:tc>
        <w:tc>
          <w:tcPr>
            <w:tcW w:type="dxa" w:w="10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23.3</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0.040</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NY_Pre, NY_Lun, Ldn_Cl, Ldn_Op</w:t>
            </w:r>
          </w:p>
        </w:tc>
      </w:tr>
      <w:tr>
        <w:tc>
          <w:tcPr>
            <w:tcW w:type="dxa" w:w="1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C2: 30S Short</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317</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60.9%</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+1,005R</w:t>
            </w:r>
          </w:p>
        </w:tc>
        <w:tc>
          <w:tcPr>
            <w:tcW w:type="dxa" w:w="10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17.6</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0.057</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1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NY_Lun, NY_PM, NY_Cl, +3</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C3: 30S Long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395</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61.0%</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+1,233R</w:t>
            </w:r>
          </w:p>
        </w:tc>
        <w:tc>
          <w:tcPr>
            <w:tcW w:type="dxa" w:w="10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10.7</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0.115</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Ldn_Mid, NY_PM, NY_Pre, +3</w:t>
            </w:r>
          </w:p>
        </w:tc>
      </w:tr>
      <w:tr>
        <w:tc>
          <w:tcPr>
            <w:tcW w:type="dxa" w:w="1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C4: 1M Short</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198</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61.1%</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+1,128R</w:t>
            </w:r>
          </w:p>
        </w:tc>
        <w:tc>
          <w:tcPr>
            <w:tcW w:type="dxa" w:w="10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7.4</w:t>
            </w:r>
          </w:p>
        </w:tc>
        <w:tc>
          <w:tcPr>
            <w:tcW w:type="dxa" w:w="1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0.152</w:t>
            </w:r>
          </w:p>
        </w:tc>
        <w:tc>
          <w:tcPr>
            <w:tcW w:type="dxa" w:w="9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1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Ldn_Cl, NY_Lun, NY_AM, NY_Cl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C5: 1M Long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278</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52.5%</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+1,211R</w:t>
            </w:r>
          </w:p>
        </w:tc>
        <w:tc>
          <w:tcPr>
            <w:tcW w:type="dxa" w:w="10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13.7</w:t>
            </w:r>
          </w:p>
        </w:tc>
        <w:tc>
          <w:tcPr>
            <w:tcW w:type="dxa" w:w="1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0.088</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Ldn_Mid, Asia, NY_AM, NY_Op</w:t>
            </w:r>
          </w:p>
        </w:tc>
      </w:tr>
      <w:tr>
        <w:tc>
          <w:tcPr>
            <w:tcW w:type="dxa" w:w="18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PORTFOLIO</w:t>
            </w:r>
          </w:p>
        </w:tc>
        <w:tc>
          <w:tcPr>
            <w:tcW w:type="dxa" w:w="9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1,707</w:t>
            </w:r>
          </w:p>
        </w:tc>
        <w:tc>
          <w:tcPr>
            <w:tcW w:type="dxa" w:w="9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~60%</w:t>
            </w:r>
          </w:p>
        </w:tc>
        <w:tc>
          <w:tcPr>
            <w:tcW w:type="dxa" w:w="11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+1,913R/yr</w:t>
            </w:r>
          </w:p>
        </w:tc>
        <w:tc>
          <w:tcPr>
            <w:tcW w:type="dxa" w:w="106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20.3</w:t>
            </w:r>
          </w:p>
        </w:tc>
        <w:tc>
          <w:tcPr>
            <w:tcW w:type="dxa" w:w="11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2E7D32"/>
                <w:sz w:val="20"/>
                <w:szCs w:val="20"/>
              </w:rPr>
              <w:t xml:space="preserve">93.7</w:t>
            </w:r>
          </w:p>
        </w:tc>
        <w:tc>
          <w:tcPr>
            <w:tcW w:type="dxa" w:w="9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2–3</w:t>
            </w:r>
          </w:p>
        </w:tc>
        <w:tc>
          <w:tcPr>
            <w:tcW w:type="dxa" w:w="1600"/>
            <w:tcBorders>
              <w:top w:val="single" w:color="E0E0E0" w:sz="1"/>
              <w:left w:val="single" w:color="E0E0E0" w:sz="1"/>
              <w:bottom w:val="single" w:color="E0E0E0" w:sz="1"/>
              <w:right w:val="single" w:color="E0E0E0" w:sz="1"/>
            </w:tcBorders>
            <w:shd w:fill="D5E8F0"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Session-Routed</w:t>
            </w:r>
          </w:p>
        </w:tc>
      </w:tr>
    </w:tbl>
    <w:p>
      <w:pPr>
        <w:spacing w:after="240"/>
        <w:jc w:val="left"/>
      </w:pPr>
      <w:r>
        <w:rPr>
          <w:rFonts w:ascii="Arial" w:cs="Arial" w:eastAsia="Arial" w:hAnsi="Arial"/>
          <w:color w:val="333333"/>
          <w:sz w:val="22"/>
          <w:szCs w:val="22"/>
        </w:rPr>
        <w:t xml:space="preserve">Backtest parameters: NQ tick data, $20/point NQ ($2/point MNQ), 247 trading days, 0.5pt slippage, 0.5pt commission per side. Annualized Calmar ratio of 93.7 with 20.3R maximum drawdown.</w:t>
      </w:r>
    </w:p>
    <w:p>
      <w:r>
        <w:br w:type="page"/>
      </w:r>
    </w:p>
    <w:p>
      <w:pPr>
        <w:pStyle w:val="Heading1"/>
        <w:spacing w:after="120" w:before="360"/>
      </w:pPr>
      <w:r>
        <w:rPr>
          <w:rFonts w:ascii="Arial" w:cs="Arial" w:eastAsia="Arial" w:hAnsi="Arial"/>
          <w:b/>
          <w:bCs/>
          <w:color w:val="1B3A5C"/>
          <w:sz w:val="32"/>
          <w:szCs w:val="32"/>
        </w:rPr>
        <w:t xml:space="preserve">2. Strategy Architecture</w:t>
      </w:r>
    </w:p>
    <w:p>
      <w:pPr>
        <w:pStyle w:val="Heading2"/>
        <w:spacing w:after="120" w:before="240"/>
      </w:pPr>
      <w:r>
        <w:rPr>
          <w:rFonts w:ascii="Arial" w:cs="Arial" w:eastAsia="Arial" w:hAnsi="Arial"/>
          <w:b/>
          <w:bCs/>
          <w:color w:val="1B3A5C"/>
          <w:sz w:val="26"/>
          <w:szCs w:val="26"/>
        </w:rPr>
        <w:t xml:space="preserve">2.1 IFVG MTF Cascade Logic</w:t>
      </w:r>
    </w:p>
    <w:p>
      <w:pPr>
        <w:spacing w:after="160"/>
        <w:jc w:val="left"/>
      </w:pPr>
      <w:r>
        <w:rPr>
          <w:rFonts w:ascii="Arial" w:cs="Arial" w:eastAsia="Arial" w:hAnsi="Arial"/>
          <w:color w:val="333333"/>
          <w:sz w:val="22"/>
          <w:szCs w:val="22"/>
        </w:rPr>
        <w:t xml:space="preserve">The strategy operates on a multi-timeframe cascade: 15-minute HTF bars detect swing highs/lows and liquidity sweeps, then lower-timeframe bars (15-second, 30-second, or 1-minute depending on component) detect Fair Value Gaps (FVGs) that form in the post-sweep reaction. The entry is a market order on the bar after FVG formation, with a hard stop at the FVG edge plus a buffer, and a profit target at a fixed R-multiple.</w:t>
      </w:r>
    </w:p>
    <w:p>
      <w:pPr>
        <w:pStyle w:val="Heading3"/>
        <w:spacing w:after="120" w:before="240"/>
      </w:pPr>
      <w:r>
        <w:rPr>
          <w:rFonts w:ascii="Arial" w:cs="Arial" w:eastAsia="Arial" w:hAnsi="Arial"/>
          <w:b/>
          <w:bCs/>
          <w:color w:val="1B3A5C"/>
          <w:sz w:val="22"/>
          <w:szCs w:val="22"/>
        </w:rPr>
        <w:t xml:space="preserve">Signal Flow</w:t>
      </w:r>
    </w:p>
    <w:p>
      <w:pPr>
        <w:pStyle w:val="ListParagraph"/>
        <w:numPr>
          <w:ilvl w:val="0"/>
          <w:numId w:val="3"/>
        </w:numPr>
        <w:spacing w:after="100"/>
      </w:pPr>
      <w:r>
        <w:rPr>
          <w:rFonts w:ascii="Arial" w:cs="Arial" w:eastAsia="Arial" w:hAnsi="Arial"/>
          <w:color w:val="333333"/>
          <w:sz w:val="22"/>
          <w:szCs w:val="22"/>
        </w:rPr>
        <w:t xml:space="preserve">HTF Swing Detection: 15M bars identify swing highs/lows using 2-bar confirmation (also 1H bars with 3-bar confirmation). These form the key levels pool, de-duplicated within 2.0 points.</w:t>
      </w:r>
    </w:p>
    <w:p>
      <w:pPr>
        <w:pStyle w:val="ListParagraph"/>
        <w:numPr>
          <w:ilvl w:val="0"/>
          <w:numId w:val="3"/>
        </w:numPr>
        <w:spacing w:after="100"/>
      </w:pPr>
      <w:r>
        <w:rPr>
          <w:rFonts w:ascii="Arial" w:cs="Arial" w:eastAsia="Arial" w:hAnsi="Arial"/>
          <w:color w:val="333333"/>
          <w:sz w:val="22"/>
          <w:szCs w:val="22"/>
        </w:rPr>
        <w:t xml:space="preserve">Sweep Detection: On each 15M bar close, check if price swept through (exceeded then closed back through) any key level by at least SweepMinPts (1.0). A high sweep creates short setups; a low sweep creates long setups.</w:t>
      </w:r>
    </w:p>
    <w:p>
      <w:pPr>
        <w:pStyle w:val="ListParagraph"/>
        <w:numPr>
          <w:ilvl w:val="0"/>
          <w:numId w:val="3"/>
        </w:numPr>
        <w:spacing w:after="100"/>
      </w:pPr>
      <w:r>
        <w:rPr>
          <w:rFonts w:ascii="Arial" w:cs="Arial" w:eastAsia="Arial" w:hAnsi="Arial"/>
          <w:color w:val="333333"/>
          <w:sz w:val="22"/>
          <w:szCs w:val="22"/>
        </w:rPr>
        <w:t xml:space="preserve">Reaction Scoring: On each LTF bar after a sweep, measure the post-sweep reversal. Consecutive directional candles (minimum 0.5pt body) accumulate displacement. Score reaches 3 (entry threshold) via death candle (single bar with body exceeding 20pts) or 3+ consecutive candles with cumulative displacement exceeding 10pts.</w:t>
      </w:r>
    </w:p>
    <w:p>
      <w:pPr>
        <w:pStyle w:val="ListParagraph"/>
        <w:numPr>
          <w:ilvl w:val="0"/>
          <w:numId w:val="3"/>
        </w:numPr>
        <w:spacing w:after="100"/>
      </w:pPr>
      <w:r>
        <w:rPr>
          <w:rFonts w:ascii="Arial" w:cs="Arial" w:eastAsia="Arial" w:hAnsi="Arial"/>
          <w:color w:val="333333"/>
          <w:sz w:val="22"/>
          <w:szCs w:val="22"/>
        </w:rPr>
        <w:t xml:space="preserve">FVG Detection: Once reaction threshold is met, check for a 3-bar Fair Value Gap on the LTF. SHORT FVG: bar[i-2].LOW &gt; bar[i].HIGH. LONG FVG: bar[i].LOW &gt; bar[i-2].HIGH. Gap must be within [GapMin, GapCap] for the component.</w:t>
      </w:r>
    </w:p>
    <w:p>
      <w:pPr>
        <w:pStyle w:val="ListParagraph"/>
        <w:numPr>
          <w:ilvl w:val="0"/>
          <w:numId w:val="3"/>
        </w:numPr>
        <w:spacing w:after="100"/>
      </w:pPr>
      <w:r>
        <w:rPr>
          <w:rFonts w:ascii="Arial" w:cs="Arial" w:eastAsia="Arial" w:hAnsi="Arial"/>
          <w:color w:val="333333"/>
          <w:sz w:val="22"/>
          <w:szCs w:val="22"/>
        </w:rPr>
        <w:t xml:space="preserve">Entry Filtering: Validate risk bounds (MinRisk to RiskCap), session routing (component-specific allowed sessions), daily R limit, streak limit, weekly R limit, and portfolio circuit breakers. If all pass, submit market entry on next bar’s open.</w:t>
      </w:r>
    </w:p>
    <w:p>
      <w:pPr>
        <w:pStyle w:val="ListParagraph"/>
        <w:numPr>
          <w:ilvl w:val="0"/>
          <w:numId w:val="3"/>
        </w:numPr>
        <w:spacing w:after="100"/>
      </w:pPr>
      <w:r>
        <w:rPr>
          <w:rFonts w:ascii="Arial" w:cs="Arial" w:eastAsia="Arial" w:hAnsi="Arial"/>
          <w:color w:val="333333"/>
          <w:sz w:val="22"/>
          <w:szCs w:val="22"/>
        </w:rPr>
        <w:t xml:space="preserve">Trade Management: Hard stop at FVG edge + buffer (stop-market order). Profit target at entry +/- risk * RT (limit order). Flatten all positions at 14:55 CT.</w:t>
      </w:r>
    </w:p>
    <w:p>
      <w:pPr>
        <w:pStyle w:val="Heading2"/>
        <w:spacing w:after="120" w:before="240"/>
      </w:pPr>
      <w:r>
        <w:rPr>
          <w:rFonts w:ascii="Arial" w:cs="Arial" w:eastAsia="Arial" w:hAnsi="Arial"/>
          <w:b/>
          <w:bCs/>
          <w:color w:val="1B3A5C"/>
          <w:sz w:val="26"/>
          <w:szCs w:val="26"/>
        </w:rPr>
        <w:t xml:space="preserve">2.2 Component Configuration</w:t>
      </w:r>
    </w:p>
    <w:p>
      <w:pPr>
        <w:spacing w:after="160"/>
        <w:jc w:val="left"/>
      </w:pPr>
      <w:r>
        <w:rPr>
          <w:rFonts w:ascii="Arial" w:cs="Arial" w:eastAsia="Arial" w:hAnsi="Arial"/>
          <w:color w:val="333333"/>
          <w:sz w:val="22"/>
          <w:szCs w:val="22"/>
        </w:rPr>
        <w:t xml:space="preserve">Each of the 6 components operates independently with its own capital allocation, risk parameters, session routing, and drawdown controls. All components trade the same instrument (MNQ/NQ) but are logically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700"/>
        <w:gridCol w:w="500"/>
        <w:gridCol w:w="800"/>
        <w:gridCol w:w="700"/>
        <w:gridCol w:w="700"/>
        <w:gridCol w:w="700"/>
        <w:gridCol w:w="800"/>
        <w:gridCol w:w="800"/>
        <w:gridCol w:w="1160"/>
      </w:tblGrid>
      <w:tr>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LTF</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Dir</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RT</w:t>
            </w:r>
          </w:p>
        </w:tc>
        <w:tc>
          <w:tcPr>
            <w:tcW w:type="dxa" w:w="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RiskCap</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GapCap</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Buffer</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MinRisk</w:t>
            </w:r>
          </w:p>
        </w:tc>
        <w:tc>
          <w:tcPr>
            <w:tcW w:type="dxa" w:w="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DailyR</w:t>
            </w:r>
          </w:p>
        </w:tc>
        <w:tc>
          <w:tcPr>
            <w:tcW w:type="dxa" w:w="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Streak</w:t>
            </w:r>
          </w:p>
        </w:tc>
        <w:tc>
          <w:tcPr>
            <w:tcW w:type="dxa" w:w="1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WeeklyR</w:t>
            </w:r>
          </w:p>
        </w:tc>
      </w:tr>
      <w:tr>
        <w:tc>
          <w:tcPr>
            <w:tcW w:type="dxa" w:w="1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C0: 15S_short</w:t>
            </w:r>
          </w:p>
        </w:tc>
        <w:tc>
          <w:tcPr>
            <w:tcW w:type="dxa" w:w="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15S</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Short</w:t>
            </w:r>
          </w:p>
        </w:tc>
        <w:tc>
          <w:tcPr>
            <w:tcW w:type="dxa" w:w="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C1: 15S_long</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15S</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Long</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c>
          <w:tcPr>
            <w:tcW w:type="dxa" w:w="1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1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C2: 30S_short</w:t>
            </w:r>
          </w:p>
        </w:tc>
        <w:tc>
          <w:tcPr>
            <w:tcW w:type="dxa" w:w="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30S</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Short</w:t>
            </w:r>
          </w:p>
        </w:tc>
        <w:tc>
          <w:tcPr>
            <w:tcW w:type="dxa" w:w="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C3: 30S_long</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30S</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Long</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1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C4: 1M_short</w:t>
            </w:r>
          </w:p>
        </w:tc>
        <w:tc>
          <w:tcPr>
            <w:tcW w:type="dxa" w:w="6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1M</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Short</w:t>
            </w:r>
          </w:p>
        </w:tc>
        <w:tc>
          <w:tcPr>
            <w:tcW w:type="dxa" w:w="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c>
          <w:tcPr>
            <w:tcW w:type="dxa" w:w="7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C5: 1M_long</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1M</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Long</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r>
    </w:tbl>
    <w:p>
      <w:pPr>
        <w:spacing w:after="240"/>
        <w:jc w:val="left"/>
      </w:pPr>
      <w:r>
        <w:rPr>
          <w:rFonts w:ascii="Arial" w:cs="Arial" w:eastAsia="Arial" w:hAnsi="Arial"/>
          <w:color w:val="333333"/>
          <w:sz w:val="22"/>
          <w:szCs w:val="22"/>
        </w:rPr>
        <w:t xml:space="preserve">All values in points. RiskCap and GapCap define upper bounds. Buffer is added beyond the FVG edge for the hard stop. Streak limit counts consecutive losses per component per day. Weekly R limit uses ISO week (Monday start).</w:t>
      </w:r>
    </w:p>
    <w:p>
      <w:r>
        <w:br w:type="page"/>
      </w:r>
    </w:p>
    <w:p>
      <w:pPr>
        <w:pStyle w:val="Heading1"/>
        <w:spacing w:after="120" w:before="360"/>
      </w:pPr>
      <w:r>
        <w:rPr>
          <w:rFonts w:ascii="Arial" w:cs="Arial" w:eastAsia="Arial" w:hAnsi="Arial"/>
          <w:b/>
          <w:bCs/>
          <w:color w:val="1B3A5C"/>
          <w:sz w:val="32"/>
          <w:szCs w:val="32"/>
        </w:rPr>
        <w:t xml:space="preserve">3. IBKR Python Execution Architecture</w:t>
      </w:r>
    </w:p>
    <w:p>
      <w:pPr>
        <w:pStyle w:val="Heading2"/>
        <w:spacing w:after="120" w:before="240"/>
      </w:pPr>
      <w:r>
        <w:rPr>
          <w:rFonts w:ascii="Arial" w:cs="Arial" w:eastAsia="Arial" w:hAnsi="Arial"/>
          <w:b/>
          <w:bCs/>
          <w:color w:val="1B3A5C"/>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69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Broker Connection</w:t>
            </w:r>
          </w:p>
        </w:tc>
        <w:tc>
          <w:tcPr>
            <w:tcW w:type="dxa" w:w="6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ib_insync (Python wrapper for IBKR TWS API). Handles async order management, position tracking, and real-time data subscription.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Feed</w:t>
            </w:r>
          </w:p>
        </w:tc>
        <w:tc>
          <w:tcPr>
            <w:tcW w:type="dxa" w:w="69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IBKR real-time 5-second bars for MNQ, aggregated in-memory to 15S, 30S, 1M, 15M, and 1H candles.</w:t>
            </w:r>
          </w:p>
        </w:tc>
      </w:tr>
      <w:tr>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Strategy Engine</w:t>
            </w:r>
          </w:p>
        </w:tc>
        <w:tc>
          <w:tcPr>
            <w:tcW w:type="dxa" w:w="6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Direct reuse of composite_strategy.py logic. No translation — same Python code that produced the backtest results.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Order Management</w:t>
            </w:r>
          </w:p>
        </w:tc>
        <w:tc>
          <w:tcPr>
            <w:tcW w:type="dxa" w:w="69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IBKR bracket orders (OCA groups): entry + stop + target submitted atomically. Stop and target auto-cancel when one fills.</w:t>
            </w:r>
          </w:p>
        </w:tc>
      </w:tr>
      <w:tr>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Risk Layer</w:t>
            </w:r>
          </w:p>
        </w:tc>
        <w:tc>
          <w:tcPr>
            <w:tcW w:type="dxa" w:w="6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Per-component daily R, streak, weekly R tracking. Portfolio-level circuit breakers. News blackout filter.</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Logging</w:t>
            </w:r>
          </w:p>
        </w:tc>
        <w:tc>
          <w:tcPr>
            <w:tcW w:type="dxa" w:w="69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Structured JSON logging with full order lifecycle tracking. Real-time dashboard via console or web UI.</w:t>
            </w:r>
          </w:p>
        </w:tc>
      </w:tr>
      <w:tr>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Deployment</w:t>
            </w:r>
          </w:p>
        </w:tc>
        <w:tc>
          <w:tcPr>
            <w:tcW w:type="dxa" w:w="6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Single Python process on a VPS or local machine with TWS/IB Gateway running. Watchdog process for auto-restart.</w:t>
            </w:r>
          </w:p>
        </w:tc>
      </w:tr>
    </w:tbl>
    <w:p>
      <w:pPr>
        <w:pStyle w:val="Heading2"/>
        <w:spacing w:after="120" w:before="240"/>
      </w:pPr>
      <w:r>
        <w:rPr>
          <w:rFonts w:ascii="Arial" w:cs="Arial" w:eastAsia="Arial" w:hAnsi="Arial"/>
          <w:b/>
          <w:bCs/>
          <w:color w:val="1B3A5C"/>
          <w:sz w:val="26"/>
          <w:szCs w:val="26"/>
        </w:rPr>
        <w:t xml:space="preserve">3.2 Why This Solves the NT8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313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NT8 Behavior</w:t>
            </w:r>
          </w:p>
        </w:tc>
        <w:tc>
          <w:tcPr>
            <w:tcW w:type="dxa" w:w="313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IBKR Python Solution</w:t>
            </w:r>
          </w:p>
        </w:tc>
      </w:tr>
      <w:tr>
        <w:tc>
          <w:tcPr>
            <w:tcW w:type="dxa" w:w="3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Orphaned positions (no stop)</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IsExitOnSessionCloseStrategy cancels working stops/targets when session ends. Multiple components on same instrument create net-zero positions, so NT8 cancels stops but sends no close.</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IsExitOnSessionCloseStrategy does not exist. Bracket orders are atomic — stop and target are part of the same order group and cannot be independently cancelled by the platform.</w:t>
            </w:r>
          </w:p>
        </w:tc>
      </w:tr>
      <w:tr>
        <w:tc>
          <w:tcPr>
            <w:tcW w:type="dxa" w:w="3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Reaction scan bug</w:t>
            </w:r>
          </w:p>
        </w:tc>
        <w:tc>
          <w:tcPr>
            <w:tcW w:type="dxa" w:w="31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NT8’s barsAgo indexing required reversing the Python’s forward scan. Translation error caused reaction to measure random recent candles instead of post-sweep bars.</w:t>
            </w:r>
          </w:p>
        </w:tc>
        <w:tc>
          <w:tcPr>
            <w:tcW w:type="dxa" w:w="31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translation needed. The exact same measure_reaction() function runs in both backtest and live. Zero divergence risk.</w:t>
            </w:r>
          </w:p>
        </w:tc>
      </w:tr>
      <w:tr>
        <w:tc>
          <w:tcPr>
            <w:tcW w:type="dxa" w:w="3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Phantom Close trades</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NT8 submits its own Close orders in unmanaged mode, scrambling trade accounting and inflating loss counts.</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platform-injected orders. All orders are explicitly submitted by our code. Trade accounting is exact.</w:t>
            </w:r>
          </w:p>
        </w:tc>
      </w:tr>
      <w:tr>
        <w:tc>
          <w:tcPr>
            <w:tcW w:type="dxa" w:w="31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Callback race conditions</w:t>
            </w:r>
          </w:p>
        </w:tc>
        <w:tc>
          <w:tcPr>
            <w:tcW w:type="dxa" w:w="31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Stop/target submission depends on OnExecutionUpdate callback. If callback fires before trade state is ready, or if an exception occurs, the stop never gets placed.</w:t>
            </w:r>
          </w:p>
        </w:tc>
        <w:tc>
          <w:tcPr>
            <w:tcW w:type="dxa" w:w="31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Sequential code: submit entry, wait for fill, submit bracket. No async callbacks. Each step completes before the next begins.</w:t>
            </w:r>
          </w:p>
        </w:tc>
      </w:tr>
      <w:tr>
        <w:tc>
          <w:tcPr>
            <w:tcW w:type="dxa" w:w="31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News exposure</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built-in news awareness. Strategy enters during CPI/FOMC/NFP and gets stopped out by 100+ point moves.</w:t>
            </w:r>
          </w:p>
        </w:tc>
        <w:tc>
          <w:tcPr>
            <w:tcW w:type="dxa" w:w="31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JSON calendar of high-impact events checked before every entry. 5-minute pre / 15-minute post blackout window. Trivial to implement in Python.</w:t>
            </w:r>
          </w:p>
        </w:tc>
      </w:tr>
    </w:tbl>
    <w:p>
      <w:r>
        <w:br w:type="page"/>
      </w:r>
    </w:p>
    <w:p>
      <w:pPr>
        <w:pStyle w:val="Heading2"/>
        <w:spacing w:after="120" w:before="240"/>
      </w:pPr>
      <w:r>
        <w:rPr>
          <w:rFonts w:ascii="Arial" w:cs="Arial" w:eastAsia="Arial" w:hAnsi="Arial"/>
          <w:b/>
          <w:bCs/>
          <w:color w:val="1B3A5C"/>
          <w:sz w:val="26"/>
          <w:szCs w:val="26"/>
        </w:rPr>
        <w:t xml:space="preserve">3.3 System Components</w:t>
      </w:r>
    </w:p>
    <w:p>
      <w:pPr>
        <w:spacing w:after="160"/>
        <w:jc w:val="left"/>
      </w:pPr>
      <w:r>
        <w:rPr>
          <w:rFonts w:ascii="Arial" w:cs="Arial" w:eastAsia="Arial" w:hAnsi="Arial"/>
          <w:color w:val="333333"/>
          <w:sz w:val="22"/>
          <w:szCs w:val="22"/>
        </w:rPr>
        <w:t xml:space="preserve">The execution engine consists of five core modules, each with a clear responsibility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9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Bar Aggregator</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bar_aggregator.py</w:t>
            </w:r>
          </w:p>
        </w:tc>
        <w:tc>
          <w:tcPr>
            <w:tcW w:type="dxa" w:w="4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Subscribes to IBKR 5-second bars. Maintains rolling OHLC arrays for 15S, 30S, 1M, 15M, 1H. Emits bar-close events to the strategy engine. Handles session boundaries and DST transitions.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Strategy Engine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strategy_engine.py</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 IFVG logic: swing detection, sweep detection, reaction scoring, FVG detection, entry filtering. Direct port of composite_strategy.py with run_bar() replacing run_day(). Maintains component state (setups, trades, stats).</w:t>
            </w:r>
          </w:p>
        </w:tc>
      </w:tr>
      <w:tr>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Order Manager</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order_manager.py</w:t>
            </w:r>
          </w:p>
        </w:tc>
        <w:tc>
          <w:tcPr>
            <w:tcW w:type="dxa" w:w="4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Submits bracket orders to IBKR via ib_insync. Tracks order fills, cancellations, and rejections. Manages flatten-time exits and emergency exits. Maps IBKR order IDs to component trade objects.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Risk Manager</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risk_manager.py</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Per-component daily R, streak, and weekly R tracking. Portfolio-level circuit breakers. News blackout calendar. Position reconciliation against IBKR account positions.</w:t>
            </w:r>
          </w:p>
        </w:tc>
      </w:tr>
      <w:tr>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Main Runner</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tempo_live.py</w:t>
            </w:r>
          </w:p>
        </w:tc>
        <w:tc>
          <w:tcPr>
            <w:tcW w:type="dxa" w:w="49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Entry point. Initializes IBKR connection, starts bar aggregator, wires up strategy engine and order manager. Handles graceful shutdown, reconnection, and watchdog heartbeat.</w:t>
            </w:r>
          </w:p>
        </w:tc>
      </w:tr>
    </w:tbl>
    <w:p>
      <w:pPr>
        <w:pStyle w:val="Heading2"/>
        <w:spacing w:after="120" w:before="240"/>
      </w:pPr>
      <w:r>
        <w:rPr>
          <w:rFonts w:ascii="Arial" w:cs="Arial" w:eastAsia="Arial" w:hAnsi="Arial"/>
          <w:b/>
          <w:bCs/>
          <w:color w:val="1B3A5C"/>
          <w:sz w:val="26"/>
          <w:szCs w:val="26"/>
        </w:rPr>
        <w:t xml:space="preserve">3.4 Order Flow (Entry to Exit)</w:t>
      </w:r>
    </w:p>
    <w:p>
      <w:pPr>
        <w:pStyle w:val="ListParagraph"/>
        <w:numPr>
          <w:ilvl w:val="0"/>
          <w:numId w:val="3"/>
        </w:numPr>
        <w:spacing w:after="80"/>
      </w:pPr>
      <w:r>
        <w:rPr>
          <w:rFonts w:ascii="Arial" w:cs="Arial" w:eastAsia="Arial" w:hAnsi="Arial"/>
          <w:color w:val="333333"/>
          <w:sz w:val="22"/>
          <w:szCs w:val="22"/>
        </w:rPr>
        <w:t xml:space="preserve">Bar close event fires from bar_aggregator (e.g., 30S bar close for C2/C3 components).</w:t>
      </w:r>
    </w:p>
    <w:p>
      <w:pPr>
        <w:pStyle w:val="ListParagraph"/>
        <w:numPr>
          <w:ilvl w:val="0"/>
          <w:numId w:val="3"/>
        </w:numPr>
        <w:spacing w:after="80"/>
      </w:pPr>
      <w:r>
        <w:rPr>
          <w:rFonts w:ascii="Arial" w:cs="Arial" w:eastAsia="Arial" w:hAnsi="Arial"/>
          <w:color w:val="333333"/>
          <w:sz w:val="22"/>
          <w:szCs w:val="22"/>
        </w:rPr>
        <w:t xml:space="preserve">strategy_engine.run_bar() checks for sweep setups, scores reaction, detects FVG, validates all entry filters.</w:t>
      </w:r>
    </w:p>
    <w:p>
      <w:pPr>
        <w:pStyle w:val="ListParagraph"/>
        <w:numPr>
          <w:ilvl w:val="0"/>
          <w:numId w:val="3"/>
        </w:numPr>
        <w:spacing w:after="80"/>
      </w:pPr>
      <w:r>
        <w:rPr>
          <w:rFonts w:ascii="Arial" w:cs="Arial" w:eastAsia="Arial" w:hAnsi="Arial"/>
          <w:color w:val="333333"/>
          <w:sz w:val="22"/>
          <w:szCs w:val="22"/>
        </w:rPr>
        <w:t xml:space="preserve">If entry signal fires: strategy_engine returns an EntrySignal object with direction, hard_stop, target, component_id.</w:t>
      </w:r>
    </w:p>
    <w:p>
      <w:pPr>
        <w:pStyle w:val="ListParagraph"/>
        <w:numPr>
          <w:ilvl w:val="0"/>
          <w:numId w:val="3"/>
        </w:numPr>
        <w:spacing w:after="80"/>
      </w:pPr>
      <w:r>
        <w:rPr>
          <w:rFonts w:ascii="Arial" w:cs="Arial" w:eastAsia="Arial" w:hAnsi="Arial"/>
          <w:color w:val="333333"/>
          <w:sz w:val="22"/>
          <w:szCs w:val="22"/>
        </w:rPr>
        <w:t xml:space="preserve">order_manager receives EntrySignal and submits a bracket order to IBKR: parent = market order (entry), child 1 = stop-market at hard_stop, child 2 = limit at target. All three orders are linked as an OCA group.</w:t>
      </w:r>
    </w:p>
    <w:p>
      <w:pPr>
        <w:pStyle w:val="ListParagraph"/>
        <w:numPr>
          <w:ilvl w:val="0"/>
          <w:numId w:val="3"/>
        </w:numPr>
        <w:spacing w:after="80"/>
      </w:pPr>
      <w:r>
        <w:rPr>
          <w:rFonts w:ascii="Arial" w:cs="Arial" w:eastAsia="Arial" w:hAnsi="Arial"/>
          <w:color w:val="333333"/>
          <w:sz w:val="22"/>
          <w:szCs w:val="22"/>
        </w:rPr>
        <w:t xml:space="preserve">IBKR fills entry and activates the bracket children. Stop and target are now live on the exchange.</w:t>
      </w:r>
    </w:p>
    <w:p>
      <w:pPr>
        <w:pStyle w:val="ListParagraph"/>
        <w:numPr>
          <w:ilvl w:val="0"/>
          <w:numId w:val="3"/>
        </w:numPr>
        <w:spacing w:after="80"/>
      </w:pPr>
      <w:r>
        <w:rPr>
          <w:rFonts w:ascii="Arial" w:cs="Arial" w:eastAsia="Arial" w:hAnsi="Arial"/>
          <w:color w:val="333333"/>
          <w:sz w:val="22"/>
          <w:szCs w:val="22"/>
        </w:rPr>
        <w:t xml:space="preserve">When stop or target fills, IBKR auto-cancels the other. order_manager receives the fill notification and updates component trade state.</w:t>
      </w:r>
    </w:p>
    <w:p>
      <w:pPr>
        <w:pStyle w:val="ListParagraph"/>
        <w:numPr>
          <w:ilvl w:val="0"/>
          <w:numId w:val="3"/>
        </w:numPr>
        <w:spacing w:after="80"/>
      </w:pPr>
      <w:r>
        <w:rPr>
          <w:rFonts w:ascii="Arial" w:cs="Arial" w:eastAsia="Arial" w:hAnsi="Arial"/>
          <w:color w:val="333333"/>
          <w:sz w:val="22"/>
          <w:szCs w:val="22"/>
        </w:rPr>
        <w:t xml:space="preserve">risk_manager records the R result, updates daily/weekly accumulators and streak counters.</w:t>
      </w:r>
    </w:p>
    <w:p>
      <w:pPr>
        <w:pStyle w:val="ListParagraph"/>
        <w:numPr>
          <w:ilvl w:val="0"/>
          <w:numId w:val="3"/>
        </w:numPr>
        <w:spacing w:after="80"/>
      </w:pPr>
      <w:r>
        <w:rPr>
          <w:rFonts w:ascii="Arial" w:cs="Arial" w:eastAsia="Arial" w:hAnsi="Arial"/>
          <w:color w:val="333333"/>
          <w:sz w:val="22"/>
          <w:szCs w:val="22"/>
        </w:rPr>
        <w:t xml:space="preserve">At flatten time (14:55 CT), order_manager cancels all working orders and submits market exits for any remaining positions.</w:t>
      </w:r>
    </w:p>
    <w:p>
      <w:pPr>
        <w:spacing w:after="240"/>
        <w:jc w:val="left"/>
      </w:pPr>
      <w:r>
        <w:rPr>
          <w:rFonts w:ascii="Arial" w:cs="Arial" w:eastAsia="Arial" w:hAnsi="Arial"/>
          <w:color w:val="333333"/>
          <w:sz w:val="22"/>
          <w:szCs w:val="22"/>
        </w:rPr>
        <w:t xml:space="preserve">The critical difference from NT8: steps 3–5 happen in a single synchronous block. There is no async callback gap where the position exists without a stop.</w:t>
      </w:r>
    </w:p>
    <w:p>
      <w:r>
        <w:br w:type="page"/>
      </w:r>
    </w:p>
    <w:p>
      <w:pPr>
        <w:pStyle w:val="Heading1"/>
        <w:spacing w:after="120" w:before="360"/>
      </w:pPr>
      <w:r>
        <w:rPr>
          <w:rFonts w:ascii="Arial" w:cs="Arial" w:eastAsia="Arial" w:hAnsi="Arial"/>
          <w:b/>
          <w:bCs/>
          <w:color w:val="1B3A5C"/>
          <w:sz w:val="32"/>
          <w:szCs w:val="32"/>
        </w:rPr>
        <w:t xml:space="preserve">4. News Blackout Filter</w:t>
      </w:r>
    </w:p>
    <w:p>
      <w:pPr>
        <w:spacing w:after="160"/>
        <w:jc w:val="left"/>
      </w:pPr>
      <w:r>
        <w:rPr>
          <w:rFonts w:ascii="Arial" w:cs="Arial" w:eastAsia="Arial" w:hAnsi="Arial"/>
          <w:color w:val="333333"/>
          <w:sz w:val="22"/>
          <w:szCs w:val="22"/>
        </w:rPr>
        <w:t xml:space="preserve">NQ is extremely sensitive to macroeconomic releases. A single CPI print or FOMC decision can move price 50–200 points in seconds, vaporizing any stop-loss-based strategy. The IBKR executor includes a news blackout filter that was not feasible in the NT8 implementation.</w:t>
      </w:r>
    </w:p>
    <w:p>
      <w:pPr>
        <w:pStyle w:val="Heading2"/>
        <w:spacing w:after="120" w:before="240"/>
      </w:pPr>
      <w:r>
        <w:rPr>
          <w:rFonts w:ascii="Arial" w:cs="Arial" w:eastAsia="Arial" w:hAnsi="Arial"/>
          <w:b/>
          <w:bCs/>
          <w:color w:val="1B3A5C"/>
          <w:sz w:val="26"/>
          <w:szCs w:val="26"/>
        </w:rPr>
        <w:t xml:space="preserve">4.1 High-Impact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Time (ET)</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1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NQ Impact</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FOMC Rate Decision</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14:00</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8x/year</w:t>
            </w:r>
          </w:p>
        </w:tc>
        <w:tc>
          <w:tcPr>
            <w:tcW w:type="dxa" w:w="2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100–200+ 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CPI (Consumer Price Index)</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Monthly</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50–150 pts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NFP (Non-Farm Payrolls)</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Monthly</w:t>
            </w:r>
          </w:p>
        </w:tc>
        <w:tc>
          <w:tcPr>
            <w:tcW w:type="dxa" w:w="2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40–100 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PPI (Producer Price Index)</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Monthly</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30–80 pts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GDP (Advance/Prelim/Final)</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Quarterly</w:t>
            </w:r>
          </w:p>
        </w:tc>
        <w:tc>
          <w:tcPr>
            <w:tcW w:type="dxa" w:w="2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30–80 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Initial Jobless Claims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Weekly</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15–40 pts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PCE Price Index</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08:30</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Monthly</w:t>
            </w:r>
          </w:p>
        </w:tc>
        <w:tc>
          <w:tcPr>
            <w:tcW w:type="dxa" w:w="2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30–70 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ISM Manufacturing/Services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10:00</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Monthly</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20–60 pts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Fed Chair Press Conference</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14:30</w:t>
            </w:r>
          </w:p>
        </w:tc>
        <w:tc>
          <w:tcPr>
            <w:tcW w:type="dxa" w:w="2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8x/year</w:t>
            </w:r>
          </w:p>
        </w:tc>
        <w:tc>
          <w:tcPr>
            <w:tcW w:type="dxa" w:w="21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80–150 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FOMC Minutes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14:00</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8x/year</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30–70 pts</w:t>
            </w:r>
          </w:p>
        </w:tc>
      </w:tr>
    </w:tbl>
    <w:p>
      <w:pPr>
        <w:pStyle w:val="Heading2"/>
        <w:spacing w:after="120" w:before="240"/>
      </w:pPr>
      <w:r>
        <w:rPr>
          <w:rFonts w:ascii="Arial" w:cs="Arial" w:eastAsia="Arial" w:hAnsi="Arial"/>
          <w:b/>
          <w:bCs/>
          <w:color w:val="1B3A5C"/>
          <w:sz w:val="26"/>
          <w:szCs w:val="26"/>
        </w:rPr>
        <w:t xml:space="preserve">4.2 Implementation</w:t>
      </w:r>
    </w:p>
    <w:p>
      <w:pPr>
        <w:spacing w:after="160"/>
        <w:jc w:val="left"/>
      </w:pPr>
      <w:r>
        <w:rPr>
          <w:rFonts w:ascii="Arial" w:cs="Arial" w:eastAsia="Arial" w:hAnsi="Arial"/>
          <w:color w:val="333333"/>
          <w:sz w:val="22"/>
          <w:szCs w:val="22"/>
        </w:rPr>
        <w:t xml:space="preserve">The blackout window is configurable per event tier. Default: 5 minutes before to 15 minutes after for Tier 1 events (FOMC, CPI, NFP), 2 minutes before to 10 minutes after for Tier 2 events (PPI, GDP, PCE, ISM). During the blackout window, no new entries are submitted. Existing positions with working stops are left alone — the stop provides protection.</w:t>
      </w:r>
    </w:p>
    <w:p>
      <w:pPr>
        <w:spacing w:after="160"/>
        <w:jc w:val="left"/>
      </w:pPr>
      <w:r>
        <w:rPr>
          <w:rFonts w:ascii="Arial" w:cs="Arial" w:eastAsia="Arial" w:hAnsi="Arial"/>
          <w:color w:val="333333"/>
          <w:sz w:val="22"/>
          <w:szCs w:val="22"/>
        </w:rPr>
        <w:t xml:space="preserve">The calendar is maintained as a JSON file (news_calendar.json) updated weekly. Sources include the IBKR economic calendar API, ForexFactory, and Investing.com. A scheduled task can auto-fetch upcoming events each Sunday.</w:t>
      </w:r>
    </w:p>
    <w:p>
      <w:r>
        <w:br w:type="page"/>
      </w:r>
    </w:p>
    <w:p>
      <w:pPr>
        <w:pStyle w:val="Heading1"/>
        <w:spacing w:after="120" w:before="360"/>
      </w:pPr>
      <w:r>
        <w:rPr>
          <w:rFonts w:ascii="Arial" w:cs="Arial" w:eastAsia="Arial" w:hAnsi="Arial"/>
          <w:b/>
          <w:bCs/>
          <w:color w:val="1B3A5C"/>
          <w:sz w:val="32"/>
          <w:szCs w:val="32"/>
        </w:rPr>
        <w:t xml:space="preserve">5. Real-Time Data Pipeline</w:t>
      </w:r>
    </w:p>
    <w:p>
      <w:pPr>
        <w:pStyle w:val="Heading2"/>
        <w:spacing w:after="120" w:before="240"/>
      </w:pPr>
      <w:r>
        <w:rPr>
          <w:rFonts w:ascii="Arial" w:cs="Arial" w:eastAsia="Arial" w:hAnsi="Arial"/>
          <w:b/>
          <w:bCs/>
          <w:color w:val="1B3A5C"/>
          <w:sz w:val="26"/>
          <w:szCs w:val="26"/>
        </w:rPr>
        <w:t xml:space="preserve">5.1 Bar Aggregation</w:t>
      </w:r>
    </w:p>
    <w:p>
      <w:pPr>
        <w:spacing w:after="160"/>
        <w:jc w:val="left"/>
      </w:pPr>
      <w:r>
        <w:rPr>
          <w:rFonts w:ascii="Arial" w:cs="Arial" w:eastAsia="Arial" w:hAnsi="Arial"/>
          <w:color w:val="333333"/>
          <w:sz w:val="22"/>
          <w:szCs w:val="22"/>
        </w:rPr>
        <w:t xml:space="preserve">IBKR provides real-time 5-second bars via reqRealTimeBars(). The bar aggregator accumulates these into the required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Timeframe</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Aggregation</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Buffer Size</w:t>
            </w:r>
          </w:p>
        </w:tc>
        <w:tc>
          <w:tcPr>
            <w:tcW w:type="dxa" w:w="193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By</w:t>
            </w:r>
          </w:p>
        </w:tc>
        <w:tc>
          <w:tcPr>
            <w:tcW w:type="dxa" w:w="193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Components</w:t>
            </w:r>
          </w:p>
        </w:tc>
      </w:tr>
      <w:tr>
        <w:tc>
          <w:tcPr>
            <w:tcW w:type="dxa" w:w="1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Second</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3x 5s bars</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4,800 bars (20h)</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FVG + Entry</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C0, C1</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Second</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6x 5s bars</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2,400 bars (20h)</w:t>
            </w:r>
          </w:p>
        </w:tc>
        <w:tc>
          <w:tcPr>
            <w:tcW w:type="dxa" w:w="19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FVG + Entry</w:t>
            </w:r>
          </w:p>
        </w:tc>
        <w:tc>
          <w:tcPr>
            <w:tcW w:type="dxa" w:w="19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C2, C3</w:t>
            </w:r>
          </w:p>
        </w:tc>
      </w:tr>
      <w:tr>
        <w:tc>
          <w:tcPr>
            <w:tcW w:type="dxa" w:w="1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Minute</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12x 5s bars</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1,200 bars (20h)</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FVG + Entry</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C4, C5</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Minute</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180x 5s bars</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400 bars (100h)</w:t>
            </w:r>
          </w:p>
        </w:tc>
        <w:tc>
          <w:tcPr>
            <w:tcW w:type="dxa" w:w="19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Swing + Sweep</w:t>
            </w:r>
          </w:p>
        </w:tc>
        <w:tc>
          <w:tcPr>
            <w:tcW w:type="dxa" w:w="193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All</w:t>
            </w:r>
          </w:p>
        </w:tc>
      </w:tr>
      <w:tr>
        <w:tc>
          <w:tcPr>
            <w:tcW w:type="dxa" w:w="1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Hour</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720x 5s bars</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 bars (200h)</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Swing levels</w:t>
            </w:r>
          </w:p>
        </w:tc>
        <w:tc>
          <w:tcPr>
            <w:tcW w:type="dxa" w:w="193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All</w:t>
            </w:r>
          </w:p>
        </w:tc>
      </w:tr>
    </w:tbl>
    <w:p>
      <w:pPr>
        <w:pStyle w:val="Heading2"/>
        <w:spacing w:after="120" w:before="240"/>
      </w:pPr>
      <w:r>
        <w:rPr>
          <w:rFonts w:ascii="Arial" w:cs="Arial" w:eastAsia="Arial" w:hAnsi="Arial"/>
          <w:b/>
          <w:bCs/>
          <w:color w:val="1B3A5C"/>
          <w:sz w:val="26"/>
          <w:szCs w:val="26"/>
        </w:rPr>
        <w:t xml:space="preserve">5.2 Session Timing</w:t>
      </w:r>
    </w:p>
    <w:p>
      <w:pPr>
        <w:spacing w:after="160"/>
        <w:jc w:val="left"/>
      </w:pPr>
      <w:r>
        <w:rPr>
          <w:rFonts w:ascii="Arial" w:cs="Arial" w:eastAsia="Arial" w:hAnsi="Arial"/>
          <w:color w:val="333333"/>
          <w:sz w:val="22"/>
          <w:szCs w:val="22"/>
        </w:rPr>
        <w:t xml:space="preserve">All internal times are Eastern Time (ET). The bar aggregator handles DST transitions automatically using the pytz library. Session classification uses the same classify_session_detailed() function from the backtest. Entry window: 02:00–15:50 ET. Flatten time: 15:55 ET. Day reset: on first bar after 18:00 ET (CME session boundary).</w:t>
      </w:r>
    </w:p>
    <w:p>
      <w:r>
        <w:br w:type="page"/>
      </w:r>
    </w:p>
    <w:p>
      <w:pPr>
        <w:pStyle w:val="Heading1"/>
        <w:spacing w:after="120" w:before="360"/>
      </w:pPr>
      <w:r>
        <w:rPr>
          <w:rFonts w:ascii="Arial" w:cs="Arial" w:eastAsia="Arial" w:hAnsi="Arial"/>
          <w:b/>
          <w:bCs/>
          <w:color w:val="1B3A5C"/>
          <w:sz w:val="32"/>
          <w:szCs w:val="32"/>
        </w:rPr>
        <w:t xml:space="preserve">6. Risk Management</w:t>
      </w:r>
    </w:p>
    <w:p>
      <w:pPr>
        <w:pStyle w:val="Heading2"/>
        <w:spacing w:after="120" w:before="240"/>
      </w:pPr>
      <w:r>
        <w:rPr>
          <w:rFonts w:ascii="Arial" w:cs="Arial" w:eastAsia="Arial" w:hAnsi="Arial"/>
          <w:b/>
          <w:bCs/>
          <w:color w:val="1B3A5C"/>
          <w:sz w:val="26"/>
          <w:szCs w:val="26"/>
        </w:rPr>
        <w:t xml:space="preserve">6.1 Per-Component Controls</w:t>
      </w:r>
    </w:p>
    <w:p>
      <w:pPr>
        <w:spacing w:after="160"/>
        <w:jc w:val="left"/>
      </w:pPr>
      <w:r>
        <w:rPr>
          <w:rFonts w:ascii="Arial" w:cs="Arial" w:eastAsia="Arial" w:hAnsi="Arial"/>
          <w:color w:val="333333"/>
          <w:sz w:val="22"/>
          <w:szCs w:val="22"/>
        </w:rPr>
        <w:t xml:space="preserve">Each component operates with independent risk controls, matching the optimized backtest configuration exactly:</w:t>
      </w:r>
    </w:p>
    <w:p>
      <w:pPr>
        <w:pStyle w:val="ListParagraph"/>
        <w:numPr>
          <w:ilvl w:val="0"/>
          <w:numId w:val="2"/>
        </w:numPr>
        <w:spacing w:after="100"/>
      </w:pPr>
      <w:r>
        <w:rPr>
          <w:rFonts w:ascii="Arial" w:cs="Arial" w:eastAsia="Arial" w:hAnsi="Arial"/>
          <w:color w:val="333333"/>
          <w:sz w:val="22"/>
          <w:szCs w:val="22"/>
        </w:rPr>
        <w:t xml:space="preserve">Daily R Limit: If a component’s cumulative R for the day drops to its DailyRLimit (typically -1.0R), no new entries for that component until the next day. This prevents compounding losses during adverse conditions.</w:t>
      </w:r>
    </w:p>
    <w:p>
      <w:pPr>
        <w:pStyle w:val="ListParagraph"/>
        <w:numPr>
          <w:ilvl w:val="0"/>
          <w:numId w:val="2"/>
        </w:numPr>
        <w:spacing w:after="100"/>
      </w:pPr>
      <w:r>
        <w:rPr>
          <w:rFonts w:ascii="Arial" w:cs="Arial" w:eastAsia="Arial" w:hAnsi="Arial"/>
          <w:color w:val="333333"/>
          <w:sz w:val="22"/>
          <w:szCs w:val="22"/>
        </w:rPr>
        <w:t xml:space="preserve">Streak Limit: After N consecutive losses (typically 2), the component stops trading for the day. Resets at day boundary. This catches regime shifts where the component’s edge temporarily disappears.</w:t>
      </w:r>
    </w:p>
    <w:p>
      <w:pPr>
        <w:pStyle w:val="ListParagraph"/>
        <w:numPr>
          <w:ilvl w:val="0"/>
          <w:numId w:val="2"/>
        </w:numPr>
        <w:spacing w:after="100"/>
      </w:pPr>
      <w:r>
        <w:rPr>
          <w:rFonts w:ascii="Arial" w:cs="Arial" w:eastAsia="Arial" w:hAnsi="Arial"/>
          <w:color w:val="333333"/>
          <w:sz w:val="22"/>
          <w:szCs w:val="22"/>
        </w:rPr>
        <w:t xml:space="preserve">Weekly R Limit: If a component’s cumulative R for the ISO week drops to its WeeklyRLimit (e.g., -4.0R for 15S_short and 30S_short), no new entries until the following Monday. This prevents extended drawdowns.</w:t>
      </w:r>
    </w:p>
    <w:p>
      <w:pPr>
        <w:pStyle w:val="Heading2"/>
        <w:spacing w:after="120" w:before="240"/>
      </w:pPr>
      <w:r>
        <w:rPr>
          <w:rFonts w:ascii="Arial" w:cs="Arial" w:eastAsia="Arial" w:hAnsi="Arial"/>
          <w:b/>
          <w:bCs/>
          <w:color w:val="1B3A5C"/>
          <w:sz w:val="26"/>
          <w:szCs w:val="26"/>
        </w:rPr>
        <w:t xml:space="preserve">6.2 Portfolio Circuit Breakers</w:t>
      </w:r>
    </w:p>
    <w:p>
      <w:pPr>
        <w:spacing w:after="160"/>
        <w:jc w:val="left"/>
      </w:pPr>
      <w:r>
        <w:rPr>
          <w:rFonts w:ascii="Arial" w:cs="Arial" w:eastAsia="Arial" w:hAnsi="Arial"/>
          <w:color w:val="333333"/>
          <w:sz w:val="22"/>
          <w:szCs w:val="22"/>
        </w:rPr>
        <w:t xml:space="preserve">Above the component level, portfolio-wide limits prevent catastrophic drawdown across all components simultaneously:</w:t>
      </w:r>
    </w:p>
    <w:p>
      <w:pPr>
        <w:pStyle w:val="ListParagraph"/>
        <w:numPr>
          <w:ilvl w:val="0"/>
          <w:numId w:val="2"/>
        </w:numPr>
        <w:spacing w:after="100"/>
      </w:pPr>
      <w:r>
        <w:rPr>
          <w:rFonts w:ascii="Arial" w:cs="Arial" w:eastAsia="Arial" w:hAnsi="Arial"/>
          <w:color w:val="333333"/>
          <w:sz w:val="22"/>
          <w:szCs w:val="22"/>
        </w:rPr>
        <w:t xml:space="preserve">Portfolio Daily R Limit: -6.0R across all components combined. If reached, all components stop trading for the day.</w:t>
      </w:r>
    </w:p>
    <w:p>
      <w:pPr>
        <w:pStyle w:val="ListParagraph"/>
        <w:numPr>
          <w:ilvl w:val="0"/>
          <w:numId w:val="2"/>
        </w:numPr>
        <w:spacing w:after="100"/>
      </w:pPr>
      <w:r>
        <w:rPr>
          <w:rFonts w:ascii="Arial" w:cs="Arial" w:eastAsia="Arial" w:hAnsi="Arial"/>
          <w:color w:val="333333"/>
          <w:sz w:val="22"/>
          <w:szCs w:val="22"/>
        </w:rPr>
        <w:t xml:space="preserve">Portfolio Weekly R Limit: -10.0R across all components combined. If reached, all components stop trading for the week.</w:t>
      </w:r>
    </w:p>
    <w:p>
      <w:pPr>
        <w:pStyle w:val="ListParagraph"/>
        <w:numPr>
          <w:ilvl w:val="0"/>
          <w:numId w:val="2"/>
        </w:numPr>
        <w:spacing w:after="100"/>
      </w:pPr>
      <w:r>
        <w:rPr>
          <w:rFonts w:ascii="Arial" w:cs="Arial" w:eastAsia="Arial" w:hAnsi="Arial"/>
          <w:color w:val="333333"/>
          <w:sz w:val="22"/>
          <w:szCs w:val="22"/>
        </w:rPr>
        <w:t xml:space="preserve">These limits are checked before every entry signal is acted upon.</w:t>
      </w:r>
    </w:p>
    <w:p>
      <w:pPr>
        <w:pStyle w:val="Heading2"/>
        <w:spacing w:after="120" w:before="240"/>
      </w:pPr>
      <w:r>
        <w:rPr>
          <w:rFonts w:ascii="Arial" w:cs="Arial" w:eastAsia="Arial" w:hAnsi="Arial"/>
          <w:b/>
          <w:bCs/>
          <w:color w:val="1B3A5C"/>
          <w:sz w:val="26"/>
          <w:szCs w:val="26"/>
        </w:rPr>
        <w:t xml:space="preserve">6.3 Position Reconciliation</w:t>
      </w:r>
    </w:p>
    <w:p>
      <w:pPr>
        <w:spacing w:after="160"/>
        <w:jc w:val="left"/>
      </w:pPr>
      <w:r>
        <w:rPr>
          <w:rFonts w:ascii="Arial" w:cs="Arial" w:eastAsia="Arial" w:hAnsi="Arial"/>
          <w:color w:val="333333"/>
          <w:sz w:val="22"/>
          <w:szCs w:val="22"/>
        </w:rPr>
        <w:t xml:space="preserve">Every 60 seconds, the risk manager reconciles the strategy’s internal position state against the IBKR account’s actual positions via ib.positions(). If a discrepancy is detected (e.g., the strategy thinks it’s flat but IBKR shows an open position), an alert is raised and the orphaned position is closed with a market order. This is the ultimate safety net that was impossible to implement reliably in NT8’s unmanaged mode.</w:t>
      </w:r>
    </w:p>
    <w:p>
      <w:r>
        <w:br w:type="page"/>
      </w:r>
    </w:p>
    <w:p>
      <w:pPr>
        <w:pStyle w:val="Heading1"/>
        <w:spacing w:after="120" w:before="360"/>
      </w:pPr>
      <w:r>
        <w:rPr>
          <w:rFonts w:ascii="Arial" w:cs="Arial" w:eastAsia="Arial" w:hAnsi="Arial"/>
          <w:b/>
          <w:bCs/>
          <w:color w:val="1B3A5C"/>
          <w:sz w:val="32"/>
          <w:szCs w:val="32"/>
        </w:rPr>
        <w:t xml:space="preserve">7. Migration Plan &amp; Timeline</w:t>
      </w:r>
    </w:p>
    <w:p>
      <w:pPr>
        <w:pStyle w:val="Heading2"/>
        <w:spacing w:after="120" w:before="240"/>
      </w:pPr>
      <w:r>
        <w:rPr>
          <w:rFonts w:ascii="Arial" w:cs="Arial" w:eastAsia="Arial" w:hAnsi="Arial"/>
          <w:b/>
          <w:bCs/>
          <w:color w:val="1B3A5C"/>
          <w:sz w:val="26"/>
          <w:szCs w:val="26"/>
        </w:rPr>
        <w:t xml:space="preserve">7.1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33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1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Bar Aggregator</w:t>
            </w:r>
          </w:p>
        </w:tc>
        <w:tc>
          <w:tcPr>
            <w:tcW w:type="dxa" w:w="33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IBKR data subscription, 5s bar aggregation into all 5 timeframes, session boundary handling, DST. Validates against historical data.</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day</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Strategy Engine</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Port run_day() to run_bar() event-driven model. Direct reuse of sweep detection, reaction scoring, FVG detection, entry filtering. Unit tests against backtest results.</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day</w:t>
            </w:r>
          </w:p>
        </w:tc>
      </w:tr>
      <w:tr>
        <w:tc>
          <w:tcPr>
            <w:tcW w:type="dxa" w:w="1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Order Manager</w:t>
            </w:r>
          </w:p>
        </w:tc>
        <w:tc>
          <w:tcPr>
            <w:tcW w:type="dxa" w:w="33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IBKR bracket order submission, fill tracking, cancel/replace, flatten logic. OCA group management. Error handling for rejections.</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day</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4</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Risk + News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Component/portfolio risk tracking, news calendar integration, blackout window logic. Position reconciliation loop.</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 day</w:t>
            </w:r>
          </w:p>
        </w:tc>
      </w:tr>
      <w:tr>
        <w:tc>
          <w:tcPr>
            <w:tcW w:type="dxa" w:w="12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5</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Integration Test</w:t>
            </w:r>
          </w:p>
        </w:tc>
        <w:tc>
          <w:tcPr>
            <w:tcW w:type="dxa" w:w="33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end-to-end test on IBKR paper account. Run for 2–3 trading days, compare entries/exits against what the Python backtest would have produced on the same data.</w:t>
            </w:r>
          </w:p>
        </w:tc>
        <w:tc>
          <w:tcPr>
            <w:tcW w:type="dxa" w:w="24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 days</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6</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Go Live</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Switch to live MNQ account. Start with 1 contract per component. Monitor for 1–2 weeks before scaling.</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 weeks</w:t>
            </w:r>
          </w:p>
        </w:tc>
      </w:tr>
    </w:tbl>
    <w:p>
      <w:pPr>
        <w:spacing w:after="200"/>
        <w:jc w:val="left"/>
      </w:pPr>
      <w:r>
        <w:rPr>
          <w:rFonts w:ascii="Arial" w:cs="Arial" w:eastAsia="Arial" w:hAnsi="Arial"/>
          <w:color w:val="333333"/>
          <w:sz w:val="22"/>
          <w:szCs w:val="22"/>
        </w:rPr>
        <w:t xml:space="preserve">Total estimated build time: 3.5 days of development + 3–5 days paper trading. Go-live within 2 weeks of start.</w:t>
      </w:r>
    </w:p>
    <w:p>
      <w:pPr>
        <w:pStyle w:val="Heading2"/>
        <w:spacing w:after="120" w:before="240"/>
      </w:pPr>
      <w:r>
        <w:rPr>
          <w:rFonts w:ascii="Arial" w:cs="Arial" w:eastAsia="Arial" w:hAnsi="Arial"/>
          <w:b/>
          <w:bCs/>
          <w:color w:val="1B3A5C"/>
          <w:sz w:val="26"/>
          <w:szCs w:val="26"/>
        </w:rPr>
        <w:t xml:space="preserve">7.2 Validation Criteria</w:t>
      </w:r>
    </w:p>
    <w:p>
      <w:pPr>
        <w:spacing w:after="160"/>
        <w:jc w:val="left"/>
      </w:pPr>
      <w:r>
        <w:rPr>
          <w:rFonts w:ascii="Arial" w:cs="Arial" w:eastAsia="Arial" w:hAnsi="Arial"/>
          <w:color w:val="333333"/>
          <w:sz w:val="22"/>
          <w:szCs w:val="22"/>
        </w:rPr>
        <w:t xml:space="preserve">Before going live, the IBKR executor must pass these validation checks:</w:t>
      </w:r>
    </w:p>
    <w:p>
      <w:pPr>
        <w:pStyle w:val="ListParagraph"/>
        <w:numPr>
          <w:ilvl w:val="0"/>
          <w:numId w:val="3"/>
        </w:numPr>
        <w:spacing w:after="100"/>
      </w:pPr>
      <w:r>
        <w:rPr>
          <w:rFonts w:ascii="Arial" w:cs="Arial" w:eastAsia="Arial" w:hAnsi="Arial"/>
          <w:color w:val="333333"/>
          <w:sz w:val="22"/>
          <w:szCs w:val="22"/>
        </w:rPr>
        <w:t xml:space="preserve">Entry match rate: Over 3 paper-trading days, at least 90% of entries taken by the IBKR executor must match entries the Python backtest would have taken on the same data (same component, same direction, within 1 bar of same entry time).</w:t>
      </w:r>
    </w:p>
    <w:p>
      <w:pPr>
        <w:pStyle w:val="ListParagraph"/>
        <w:numPr>
          <w:ilvl w:val="0"/>
          <w:numId w:val="3"/>
        </w:numPr>
        <w:spacing w:after="100"/>
      </w:pPr>
      <w:r>
        <w:rPr>
          <w:rFonts w:ascii="Arial" w:cs="Arial" w:eastAsia="Arial" w:hAnsi="Arial"/>
          <w:color w:val="333333"/>
          <w:sz w:val="22"/>
          <w:szCs w:val="22"/>
        </w:rPr>
        <w:t xml:space="preserve">Stop/target placement: Every entry must have a working bracket (stop + target) within 2 seconds of fill. Zero orphaned positions over the test period.</w:t>
      </w:r>
    </w:p>
    <w:p>
      <w:pPr>
        <w:pStyle w:val="ListParagraph"/>
        <w:numPr>
          <w:ilvl w:val="0"/>
          <w:numId w:val="3"/>
        </w:numPr>
        <w:spacing w:after="100"/>
      </w:pPr>
      <w:r>
        <w:rPr>
          <w:rFonts w:ascii="Arial" w:cs="Arial" w:eastAsia="Arial" w:hAnsi="Arial"/>
          <w:color w:val="333333"/>
          <w:sz w:val="22"/>
          <w:szCs w:val="22"/>
        </w:rPr>
        <w:t xml:space="preserve">Risk accounting: Daily R, weekly R, and streak counters must match the expected values at end of each day when compared to running the backtest on the same day’s data.</w:t>
      </w:r>
    </w:p>
    <w:p>
      <w:pPr>
        <w:pStyle w:val="ListParagraph"/>
        <w:numPr>
          <w:ilvl w:val="0"/>
          <w:numId w:val="3"/>
        </w:numPr>
        <w:spacing w:after="100"/>
      </w:pPr>
      <w:r>
        <w:rPr>
          <w:rFonts w:ascii="Arial" w:cs="Arial" w:eastAsia="Arial" w:hAnsi="Arial"/>
          <w:color w:val="333333"/>
          <w:sz w:val="22"/>
          <w:szCs w:val="22"/>
        </w:rPr>
        <w:t xml:space="preserve">News filter: Verify no entries during any blackout window. At least one blocked entry must be logged during testing to confirm the filter is active.</w:t>
      </w:r>
    </w:p>
    <w:p>
      <w:pPr>
        <w:pStyle w:val="ListParagraph"/>
        <w:numPr>
          <w:ilvl w:val="0"/>
          <w:numId w:val="3"/>
        </w:numPr>
        <w:spacing w:after="100"/>
      </w:pPr>
      <w:r>
        <w:rPr>
          <w:rFonts w:ascii="Arial" w:cs="Arial" w:eastAsia="Arial" w:hAnsi="Arial"/>
          <w:color w:val="333333"/>
          <w:sz w:val="22"/>
          <w:szCs w:val="22"/>
        </w:rPr>
        <w:t xml:space="preserve">Position reconciliation: Reconciliation loop must run successfully every 60 seconds with zero unresolved discrepancies over the test period.</w:t>
      </w:r>
    </w:p>
    <w:p>
      <w:r>
        <w:br w:type="page"/>
      </w:r>
    </w:p>
    <w:p>
      <w:pPr>
        <w:pStyle w:val="Heading1"/>
        <w:spacing w:after="120" w:before="360"/>
      </w:pPr>
      <w:r>
        <w:rPr>
          <w:rFonts w:ascii="Arial" w:cs="Arial" w:eastAsia="Arial" w:hAnsi="Arial"/>
          <w:b/>
          <w:bCs/>
          <w:color w:val="1B3A5C"/>
          <w:sz w:val="32"/>
          <w:szCs w:val="32"/>
        </w:rPr>
        <w:t xml:space="preserve">8. Code Reuse Mapping</w:t>
      </w:r>
    </w:p>
    <w:p>
      <w:pPr>
        <w:spacing w:after="160"/>
        <w:jc w:val="left"/>
      </w:pPr>
      <w:r>
        <w:rPr>
          <w:rFonts w:ascii="Arial" w:cs="Arial" w:eastAsia="Arial" w:hAnsi="Arial"/>
          <w:color w:val="333333"/>
          <w:sz w:val="22"/>
          <w:szCs w:val="22"/>
        </w:rPr>
        <w:t xml:space="preserve">The primary advantage of the IBKR migration is direct code reuse. The following table maps backtest functions to their live execution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Backtest Function</w:t>
            </w:r>
          </w:p>
        </w:tc>
        <w:tc>
          <w:tcPr>
            <w:tcW w:type="dxa" w:w="3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Live Equivalent</w:t>
            </w:r>
          </w:p>
        </w:tc>
        <w:tc>
          <w:tcPr>
            <w:tcW w:type="dxa" w:w="3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Required</w:t>
            </w:r>
          </w:p>
        </w:tc>
      </w:tr>
      <w:tr>
        <w:tc>
          <w:tcPr>
            <w:tcW w:type="dxa" w:w="3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classify_session_detailed()</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classify_session_detailed()</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2E7D32"/>
                <w:sz w:val="20"/>
                <w:szCs w:val="20"/>
              </w:rPr>
              <w:t xml:space="preserve">None — direct reuse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measure_reaction()</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measure_reaction()</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2E7D32"/>
                <w:sz w:val="20"/>
                <w:szCs w:val="20"/>
              </w:rPr>
              <w:t xml:space="preserve">None — direct reuse</w:t>
            </w:r>
          </w:p>
        </w:tc>
      </w:tr>
      <w:tr>
        <w:tc>
          <w:tcPr>
            <w:tcW w:type="dxa" w:w="3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check_liquidity_remaining()</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check_liquidity_remaining()</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2E7D32"/>
                <w:sz w:val="20"/>
                <w:szCs w:val="20"/>
              </w:rPr>
              <w:t xml:space="preserve">None — direct reuse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sim_trade_hard_stop()</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 (replaced by real orders)</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Replaced by IBKR bracket orders</w:t>
            </w:r>
          </w:p>
        </w:tc>
      </w:tr>
      <w:tr>
        <w:tc>
          <w:tcPr>
            <w:tcW w:type="dxa" w:w="3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build_levels()</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build_levels()</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2E7D32"/>
                <w:sz w:val="20"/>
                <w:szCs w:val="20"/>
              </w:rPr>
              <w:t xml:space="preserve">None — direct reuse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run_day() main loop</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run_bar() event handler</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Refactored from batch to event-driven. Same logic, different trigger.</w:t>
            </w:r>
          </w:p>
        </w:tc>
      </w:tr>
      <w:tr>
        <w:tc>
          <w:tcPr>
            <w:tcW w:type="dxa" w:w="3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OPTIMIZED_RULES config</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OPTIMIZED_RULES config</w:t>
            </w:r>
          </w:p>
        </w:tc>
        <w:tc>
          <w:tcPr>
            <w:tcW w:type="dxa" w:w="318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2E7D32"/>
                <w:sz w:val="20"/>
                <w:szCs w:val="20"/>
              </w:rPr>
              <w:t xml:space="preserve">None — direct reuse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apply_post_filters()</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risk_manager real-time checks</w:t>
            </w:r>
          </w:p>
        </w:tc>
        <w:tc>
          <w:tcPr>
            <w:tcW w:type="dxa" w:w="31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Converted from post-hoc to real-time. Same thresholds.</w:t>
            </w:r>
          </w:p>
        </w:tc>
      </w:tr>
    </w:tbl>
    <w:p>
      <w:pPr>
        <w:spacing w:after="200"/>
        <w:jc w:val="left"/>
      </w:pPr>
      <w:r>
        <w:rPr>
          <w:rFonts w:ascii="Arial" w:cs="Arial" w:eastAsia="Arial" w:hAnsi="Arial"/>
          <w:color w:val="333333"/>
          <w:sz w:val="22"/>
          <w:szCs w:val="22"/>
        </w:rPr>
        <w:t xml:space="preserve">Out of ~600 lines of core strategy logic, approximately 500 lines are direct reuse with zero modification. The remaining ~100 lines are the batch-to-event refactoring of run_day() into run_bar(), which changes the iteration model but not the decision logic.</w:t>
      </w:r>
    </w:p>
    <w:p>
      <w:pPr>
        <w:pStyle w:val="Heading2"/>
        <w:spacing w:after="120" w:before="240"/>
      </w:pPr>
      <w:r>
        <w:rPr>
          <w:rFonts w:ascii="Arial" w:cs="Arial" w:eastAsia="Arial" w:hAnsi="Arial"/>
          <w:b/>
          <w:bCs/>
          <w:color w:val="1B3A5C"/>
          <w:sz w:val="26"/>
          <w:szCs w:val="26"/>
        </w:rPr>
        <w:t xml:space="preserve">8.1 What’s New (Not in Backtest)</w:t>
      </w:r>
    </w:p>
    <w:p>
      <w:pPr>
        <w:pStyle w:val="ListParagraph"/>
        <w:numPr>
          <w:ilvl w:val="0"/>
          <w:numId w:val="2"/>
        </w:numPr>
        <w:spacing w:after="100"/>
      </w:pPr>
      <w:r>
        <w:rPr>
          <w:rFonts w:ascii="Arial" w:cs="Arial" w:eastAsia="Arial" w:hAnsi="Arial"/>
          <w:color w:val="333333"/>
          <w:sz w:val="22"/>
          <w:szCs w:val="22"/>
        </w:rPr>
        <w:t xml:space="preserve">bar_aggregator.py (~120 lines): Real-time 5-second bar subscription and multi-timeframe aggregation. This replaces the backtest’s offline resampling with pandas.</w:t>
      </w:r>
    </w:p>
    <w:p>
      <w:pPr>
        <w:pStyle w:val="ListParagraph"/>
        <w:numPr>
          <w:ilvl w:val="0"/>
          <w:numId w:val="2"/>
        </w:numPr>
        <w:spacing w:after="100"/>
      </w:pPr>
      <w:r>
        <w:rPr>
          <w:rFonts w:ascii="Arial" w:cs="Arial" w:eastAsia="Arial" w:hAnsi="Arial"/>
          <w:color w:val="333333"/>
          <w:sz w:val="22"/>
          <w:szCs w:val="22"/>
        </w:rPr>
        <w:t xml:space="preserve">order_manager.py (~150 lines): IBKR bracket order submission, fill tracking, flatten logic. Replaces sim_trade_hard_stop() with real order flow.</w:t>
      </w:r>
    </w:p>
    <w:p>
      <w:pPr>
        <w:pStyle w:val="ListParagraph"/>
        <w:numPr>
          <w:ilvl w:val="0"/>
          <w:numId w:val="2"/>
        </w:numPr>
        <w:spacing w:after="100"/>
      </w:pPr>
      <w:r>
        <w:rPr>
          <w:rFonts w:ascii="Arial" w:cs="Arial" w:eastAsia="Arial" w:hAnsi="Arial"/>
          <w:color w:val="333333"/>
          <w:sz w:val="22"/>
          <w:szCs w:val="22"/>
        </w:rPr>
        <w:t xml:space="preserve">News blackout filter (~40 lines): JSON calendar check before entry. Not present in backtest.</w:t>
      </w:r>
    </w:p>
    <w:p>
      <w:pPr>
        <w:pStyle w:val="ListParagraph"/>
        <w:numPr>
          <w:ilvl w:val="0"/>
          <w:numId w:val="2"/>
        </w:numPr>
        <w:spacing w:after="100"/>
      </w:pPr>
      <w:r>
        <w:rPr>
          <w:rFonts w:ascii="Arial" w:cs="Arial" w:eastAsia="Arial" w:hAnsi="Arial"/>
          <w:color w:val="333333"/>
          <w:sz w:val="22"/>
          <w:szCs w:val="22"/>
        </w:rPr>
        <w:t xml:space="preserve">Position reconciliation (~30 lines): Periodic IBKR account position check. Not possible in backtest.</w:t>
      </w:r>
    </w:p>
    <w:p>
      <w:pPr>
        <w:pStyle w:val="ListParagraph"/>
        <w:numPr>
          <w:ilvl w:val="0"/>
          <w:numId w:val="2"/>
        </w:numPr>
        <w:spacing w:after="100"/>
      </w:pPr>
      <w:r>
        <w:rPr>
          <w:rFonts w:ascii="Arial" w:cs="Arial" w:eastAsia="Arial" w:hAnsi="Arial"/>
          <w:color w:val="333333"/>
          <w:sz w:val="22"/>
          <w:szCs w:val="22"/>
        </w:rPr>
        <w:t xml:space="preserve">Watchdog/reconnection (~60 lines): IBKR connection monitoring, auto-reconnect, graceful shutdown. Infrastructure code.</w:t>
      </w:r>
    </w:p>
    <w:p>
      <w:pPr>
        <w:spacing w:after="160"/>
        <w:jc w:val="left"/>
      </w:pPr>
      <w:r>
        <w:rPr>
          <w:rFonts w:ascii="Arial" w:cs="Arial" w:eastAsia="Arial" w:hAnsi="Arial"/>
          <w:color w:val="333333"/>
          <w:sz w:val="22"/>
          <w:szCs w:val="22"/>
        </w:rPr>
        <w:t xml:space="preserve">Total new code: approximately 400 lines. All of it is infrastructure/plumbing, not strategy logic.</w:t>
      </w:r>
    </w:p>
    <w:p>
      <w:r>
        <w:br w:type="page"/>
      </w:r>
    </w:p>
    <w:p>
      <w:pPr>
        <w:pStyle w:val="Heading1"/>
        <w:spacing w:after="120" w:before="360"/>
      </w:pPr>
      <w:r>
        <w:rPr>
          <w:rFonts w:ascii="Arial" w:cs="Arial" w:eastAsia="Arial" w:hAnsi="Arial"/>
          <w:b/>
          <w:bCs/>
          <w:color w:val="1B3A5C"/>
          <w:sz w:val="32"/>
          <w:szCs w:val="32"/>
        </w:rPr>
        <w:t xml:space="preserve">9. IBKR Account Requirements</w:t>
      </w:r>
    </w:p>
    <w:p>
      <w:pPr>
        <w:pStyle w:val="ListParagraph"/>
        <w:numPr>
          <w:ilvl w:val="0"/>
          <w:numId w:val="2"/>
        </w:numPr>
        <w:spacing w:after="120"/>
      </w:pPr>
      <w:r>
        <w:rPr>
          <w:rFonts w:ascii="Arial" w:cs="Arial" w:eastAsia="Arial" w:hAnsi="Arial"/>
          <w:color w:val="333333"/>
          <w:sz w:val="22"/>
          <w:szCs w:val="22"/>
        </w:rPr>
        <w:t xml:space="preserve">Account Type: Individual margin account or IRA with futures trading enabled.</w:t>
      </w:r>
    </w:p>
    <w:p>
      <w:pPr>
        <w:pStyle w:val="ListParagraph"/>
        <w:numPr>
          <w:ilvl w:val="0"/>
          <w:numId w:val="2"/>
        </w:numPr>
        <w:spacing w:after="120"/>
      </w:pPr>
      <w:r>
        <w:rPr>
          <w:rFonts w:ascii="Arial" w:cs="Arial" w:eastAsia="Arial" w:hAnsi="Arial"/>
          <w:color w:val="333333"/>
          <w:sz w:val="22"/>
          <w:szCs w:val="22"/>
        </w:rPr>
        <w:t xml:space="preserve">Market Data: CME real-time data subscription required for MNQ/NQ. Approximately $15/month for non-professional.</w:t>
      </w:r>
    </w:p>
    <w:p>
      <w:pPr>
        <w:pStyle w:val="ListParagraph"/>
        <w:numPr>
          <w:ilvl w:val="0"/>
          <w:numId w:val="2"/>
        </w:numPr>
        <w:spacing w:after="120"/>
      </w:pPr>
      <w:r>
        <w:rPr>
          <w:rFonts w:ascii="Arial" w:cs="Arial" w:eastAsia="Arial" w:hAnsi="Arial"/>
          <w:color w:val="333333"/>
          <w:sz w:val="22"/>
          <w:szCs w:val="22"/>
        </w:rPr>
        <w:t xml:space="preserve">API Access: TWS (Trader Workstation) or IB Gateway must be running on the same machine as the executor. API connections enabled in TWS settings.</w:t>
      </w:r>
    </w:p>
    <w:p>
      <w:pPr>
        <w:pStyle w:val="ListParagraph"/>
        <w:numPr>
          <w:ilvl w:val="0"/>
          <w:numId w:val="2"/>
        </w:numPr>
        <w:spacing w:after="120"/>
      </w:pPr>
      <w:r>
        <w:rPr>
          <w:rFonts w:ascii="Arial" w:cs="Arial" w:eastAsia="Arial" w:hAnsi="Arial"/>
          <w:color w:val="333333"/>
          <w:sz w:val="22"/>
          <w:szCs w:val="22"/>
        </w:rPr>
        <w:t xml:space="preserve">Capital Requirement: Minimum $2,000 per MNQ contract for intraday margin. With 6 components each trading 1 contract, $12,000 minimum. Recommended: $25,000+ for margin comfort during drawdown periods.</w:t>
      </w:r>
    </w:p>
    <w:p>
      <w:pPr>
        <w:pStyle w:val="ListParagraph"/>
        <w:numPr>
          <w:ilvl w:val="0"/>
          <w:numId w:val="2"/>
        </w:numPr>
        <w:spacing w:after="120"/>
      </w:pPr>
      <w:r>
        <w:rPr>
          <w:rFonts w:ascii="Arial" w:cs="Arial" w:eastAsia="Arial" w:hAnsi="Arial"/>
          <w:color w:val="333333"/>
          <w:sz w:val="22"/>
          <w:szCs w:val="22"/>
        </w:rPr>
        <w:t xml:space="preserve">Commission: IBKR charges approximately $0.62 per MNQ contract per side ($1.24 round trip). This is lower than the 0.5pt ($1.00) commission used in the backtest, so live results should slightly outperform backtest.</w:t>
      </w:r>
    </w:p>
    <w:p>
      <w:pPr>
        <w:pStyle w:val="Heading2"/>
        <w:spacing w:after="120" w:before="240"/>
      </w:pPr>
      <w:r>
        <w:rPr>
          <w:rFonts w:ascii="Arial" w:cs="Arial" w:eastAsia="Arial" w:hAnsi="Arial"/>
          <w:b/>
          <w:bCs/>
          <w:color w:val="1B3A5C"/>
          <w:sz w:val="26"/>
          <w:szCs w:val="26"/>
        </w:rPr>
        <w:t xml:space="preserve">9.1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8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ib_insync</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0.9.86</w:t>
            </w:r>
          </w:p>
        </w:tc>
        <w:tc>
          <w:tcPr>
            <w:tcW w:type="dxa" w:w="48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IBKR TWS API wrapper. Handles connection, orders, data subscriptions.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numpy</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1.24</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Array operations for bar aggregation and swing detection.</w:t>
            </w:r>
          </w:p>
        </w:tc>
      </w:tr>
      <w:tr>
        <w:tc>
          <w:tcPr>
            <w:tcW w:type="dxa" w:w="2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pandas</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2.0</w:t>
            </w:r>
          </w:p>
        </w:tc>
        <w:tc>
          <w:tcPr>
            <w:tcW w:type="dxa" w:w="48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 series resampling, data alignment.</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pytz</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 2023.3</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Timezone handling for ET/CT/UTC conversion and DST transitions.</w:t>
            </w:r>
          </w:p>
        </w:tc>
      </w:tr>
      <w:tr>
        <w:tc>
          <w:tcPr>
            <w:tcW w:type="dxa" w:w="25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asyncio</w:t>
            </w:r>
          </w:p>
        </w:tc>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stdlib</w:t>
            </w:r>
          </w:p>
        </w:tc>
        <w:tc>
          <w:tcPr>
            <w:tcW w:type="dxa" w:w="486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Event loop for IBKR async operations.</w:t>
            </w:r>
          </w:p>
        </w:tc>
      </w:tr>
    </w:tbl>
    <w:p>
      <w:pPr>
        <w:spacing w:before="400"/>
      </w:pPr>
    </w:p>
    <w:p>
      <w:pPr>
        <w:pBdr>
          <w:top w:val="single" w:color="2E75B6" w:sz="6" w:space="8"/>
        </w:pBdr>
        <w:spacing w:after="200" w:before="4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Tempo Portfolio — IBKR Migration Plan</w:t>
    </w:r>
    <w:r>
      <w:rPr>
        <w:rFonts w:ascii="Arial" w:cs="Arial" w:eastAsia="Arial" w:hAnsi="Arial"/>
        <w:i/>
        <w:iCs/>
        <w:color w:val="BBBBB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2026-04-01T15:51:27.118Z</dcterms:created>
  <dcterms:modified xsi:type="dcterms:W3CDTF">2026-04-01T15:51:27.118Z</dcterms:modified>
</cp:coreProperties>
</file>

<file path=docProps/custom.xml><?xml version="1.0" encoding="utf-8"?>
<Properties xmlns="http://schemas.openxmlformats.org/officeDocument/2006/custom-properties" xmlns:vt="http://schemas.openxmlformats.org/officeDocument/2006/docPropsVTypes"/>
</file>