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rFonts w:ascii="Arial" w:cs="Arial" w:eastAsia="Arial" w:hAnsi="Arial"/>
          <w:b/>
          <w:bCs/>
          <w:color w:val="0F2B5C"/>
          <w:sz w:val="44"/>
          <w:szCs w:val="44"/>
          <w:rtl/>
        </w:rPr>
        <w:t xml:space="preserve">الدليل التدريبي الشامل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9488"/>
          <w:sz w:val="30"/>
          <w:szCs w:val="30"/>
          <w:rtl/>
        </w:rPr>
        <w:t xml:space="preserve">منصة المراجعة الشاملة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شرح تفصيلي لكل التبويبات وطريقة الاستخدام — مرفق بالصور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18"/>
          <w:szCs w:val="18"/>
          <w:rtl w:val="false"/>
        </w:rPr>
        <w:t xml:space="preserve">IIA IPPF 2024 · COSO · ISA · IFRS · ZATCA / SOCPA</w:t>
      </w:r>
    </w:p>
    <w:p>
      <w:r>
        <w:br w:type="page"/>
      </w:r>
    </w:p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F2B5C"/>
          <w:rtl/>
        </w:rPr>
        <w:t xml:space="preserve">١. مقدمة عن المنصة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منصة المراجعة الشاملة أداة لتوثيق دورة المراجعة الداخلية والخارجية من الاستيراد وتقييم المخاطر إلى تنفيذ الأدلة وإصدار القوائم والتقرير، وفق معايير IIA وISA وإطار COSO ومتطلبات IFRS وZATCA/SOCPA.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مبدأ جوهري: المنصة لا تختلق الأرقام. كل المخرجات (القوائم، الأهمية، الزكاة، المخاطر) تُشتق من ميزان المراجعة الفعلي الذي ترفعه، وما لا يمكن اشتقاقه يُترك حقلاً للإدخال اليدوي أو يُعرض «غير متوفر» بصدق.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تتكوّن المنصة من جزأين: (أ) الواجهة أحادية الصفحة (standalone.py) التي تعمل في المتصفح وتحفظ محلياً؛ و(ب) خادم إعادة البناء (backend) متعدد المستخدمين بصلاحيات وسجل تدقيق — يُشرح في القسم الأخير.</w:t>
      </w:r>
    </w:p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F2B5C"/>
          <w:rtl/>
        </w:rPr>
        <w:t xml:space="preserve">٢. بدء الاستخدام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٢.١ التشغيل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Windows: انقر مزدوجاً على START-Windows.bat.  ·  Mac/Linux: انقر على START-Mac-Linux.command أو نفّذ python3 run.py.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افتح المتصفح على العنوان http://localhost:8000 — لا يلزم سوى Python 3 (المكتبة القياسية).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٢.٢ إعداد المنشأة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أدخل «اسم المنشأة» و«السنة المالية» واختر «الدور (ISA 220)» من أعلى الصفحة.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الحفظ تلقائي في متصفحك (IndexedDB)؛ وتظهر قائمة «العملاء المحفوظون» للتنقل بين ملفات متعددة.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زر «تصفير وبدء عميل جديد» يبدأ ملفاً جديداً دون حذف العملاء المحفوظين.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٢.٣ دورة العمل الموصى بها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١) ارفع ميزان المراجعة ← ٢) راجع قيود التسوية ← ٣) اطّلع على لوحة المؤشرات ← ٤) الأهمية والمخاطر ← ٥) سجل المخاطر والضوابط والملاحظات ← ٦) أوراق العمل والعينات والاحتيال ← ٧) الزكاة والضريبة ← ٨) القوائم والتقرير ← ٩) تصدير حزمة المراجعة.</w:t>
      </w:r>
    </w:p>
    <w:p>
      <w:r>
        <w:br w:type="page"/>
      </w:r>
    </w:p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F2B5C"/>
          <w:rtl/>
        </w:rPr>
        <w:t xml:space="preserve">٣. ميزان المراجعة (استيراد وتدقيق)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نقطة البداية: استيراد ميزان المراجعة من Excel أو Odoo أو CSV، والتحقق الآلي من توازنه وتصنيف حساباته وفق IFRS.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خطوات الاستخدام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اضغط «اختيار ملف» أو اسحب الملف إلى منطقة الرفع (يدعم xlsx/xls/CSV).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إن كان الملف متعدد الفترات، اختر عمود الأرصدة من القائمة (الرصيد الافتتاحي 2025 / الرصيد النهائي 2026)، ويمكن «إعادة تسمية العمود».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راجع «نتائج التدقيق المحاسبي وفحص التوازن»: عدد الحسابات، توازن المدين=الدائن، وأي شذوذ.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يمكنك «تصدير الحسابات (CSV)» للاحتفاظ بنسخة مصنّفة.</w:t>
      </w:r>
    </w:p>
    <w:p>
      <w:pPr>
        <w:spacing w:after="160" w:before="100"/>
        <w:jc w:val="center"/>
      </w:pPr>
      <w:r>
        <w:drawing>
          <wp:inline distT="0" distB="0" distL="0" distR="0">
            <wp:extent cx="45720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نصيحة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إذا تعذّر فتح ملف Excel داخل بيئة مقيّدة، احفظه بصيغة CSV وارفعه — النتيجة نفسها.</w:t>
      </w:r>
    </w:p>
    <w:p>
      <w:r>
        <w:br w:type="page"/>
      </w:r>
    </w:p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F2B5C"/>
          <w:rtl/>
        </w:rPr>
        <w:t xml:space="preserve">٤. قيود التسوية (AJE · ISA 450)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إدخال قيود التسوية والتصنيف المصحِّح للحسابات، ومتابعة أثرها على الأرصدة المعدّلة.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خطوات الاستخدام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أضِف قيد تسوية بالحساب والمبلغ (مدين/دائن) ووصف مرجعي.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تظهر القيود في جدول، ويُحدَّث «الميزان المعدل» تلقائياً.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تُدرَج هذه القيود ضمن حزمة التصدير وورقة «قيود التسوية».</w:t>
      </w:r>
    </w:p>
    <w:p>
      <w:pPr>
        <w:spacing w:after="160" w:before="100"/>
        <w:jc w:val="center"/>
      </w:pPr>
      <w:r>
        <w:drawing>
          <wp:inline distT="0" distB="0" distL="0" distR="0">
            <wp:extent cx="45720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نصيحة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استخدم وصفاً واضحاً لكل قيد (السبب/المرجع) لأنه يظهر في أوراق العمل والحزمة.</w:t>
      </w:r>
    </w:p>
    <w:p>
      <w:r>
        <w:br w:type="page"/>
      </w:r>
    </w:p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F2B5C"/>
          <w:rtl/>
        </w:rPr>
        <w:t xml:space="preserve">٥. لوحة المؤشرات (Dashboard)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ملخّص فوري لحالة المراجعة: الأهمية النسبية، إجمالي الميزان، عدد المخاطر، حالة الرقابة، ومراحل الدورة.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خطوات الاستخدام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اطّلع على البطاقات: الأهمية العامة/الأداء، إجمالي الميزان (يُقرّب لأقرب ريال)، وعدد المخاطر المحددة.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يعرض السطر السفلي حالة التوازن وعدد الحسابات بدل «بانتظار البيانات» بعد الرفع.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اضغط بطاقة «الرقابة الداخلية» للانتقال السريع إلى وحدتها.</w:t>
      </w:r>
    </w:p>
    <w:p>
      <w:pPr>
        <w:spacing w:after="160" w:before="100"/>
        <w:jc w:val="center"/>
      </w:pPr>
      <w:r>
        <w:drawing>
          <wp:inline distT="0" distB="0" distL="0" distR="0">
            <wp:extent cx="45720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نصيحة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المؤشرات تُحتسب آلياً من بياناتك، فأي تغيير في الميزان ينعكس فوراً هنا.</w:t>
      </w:r>
    </w:p>
    <w:p>
      <w:r>
        <w:br w:type="page"/>
      </w:r>
    </w:p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F2B5C"/>
          <w:rtl/>
        </w:rPr>
        <w:t xml:space="preserve">٦. الأهمية وتقييم المخاطر (ISA 320 / 315)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احتساب الأهمية النسبية من أرقامك الفعلية، وتوليد مصفوفة تقييم المخاطر للحسابات الجوهرية.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خطوات الاستخدام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اختر «معيار القياس» (الأرباح قبل الزكاة 5٪ / الإيرادات 1٪ / الأصول 1٪) — يظهر المبلغ الأساسي والأهمية العامة وأهمية الأداء وعتبة الخطأ التافه.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تتحوّل المنصة تلقائياً إلى الإيرادات كأساس عند الخسارة، مع تنبيه المراجع.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تُولّد «مصفوفة تقييم المخاطر (ISA 315)» بنوداً بناءً على الحسابات التي تجاوزت أهمية الأداء + خطر الإيراد الإلزامي (ISA 240).</w:t>
      </w:r>
    </w:p>
    <w:p>
      <w:pPr>
        <w:spacing w:after="160" w:before="100"/>
        <w:jc w:val="center"/>
      </w:pPr>
      <w:r>
        <w:drawing>
          <wp:inline distT="0" distB="0" distL="0" distR="0">
            <wp:extent cx="45720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نصيحة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الأساس والأهمية يطابقان قائمة الدخل تماماً (نفس الأرقام)، فلا تعارض بين التبويبات.</w:t>
      </w:r>
    </w:p>
    <w:p>
      <w:r>
        <w:br w:type="page"/>
      </w:r>
    </w:p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F2B5C"/>
          <w:rtl/>
        </w:rPr>
        <w:t xml:space="preserve">٧. سجل المخاطر ومصفوفته (IIA · COSO ERM)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سجل مركزي للمخاطر مع احتساب الخطر الكامن والمتبقي ومصفوفة حرارية، وأساس لخطة المراجعة.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خطوات الاستخدام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أضِف خطراً: التصنيف، المالك، الاحتمال (١–٥)، الأثر (١–٥)، قوة الضوابط، الاستجابة، الحالة.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أو اضغط «استيراد مخاطر مقترحة من الميزان (ISA 315)» لتوليدها من الأرصدة الجوهرية الفعلية.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تُعرض المصفوفة الحرارية ٥×٥ (قابلة للتبديل بين الكامن والمتبقي)، وجدول مرتّب حسب الخطورة.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استخدم «تصدير السجل (CSV)»، ويظهر السجل كورقة في حزمة الإكسل.</w:t>
      </w:r>
    </w:p>
    <w:p>
      <w:pPr>
        <w:spacing w:after="160" w:before="100"/>
        <w:jc w:val="center"/>
      </w:pPr>
      <w:r>
        <w:drawing>
          <wp:inline distT="0" distB="0" distL="0" distR="0">
            <wp:extent cx="45720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نصيحة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رتّب خطة المراجعة السنوية بحسب أعلى الخطر المتبقي — وهو جوهر التخطيط المبني على المخاطر.</w:t>
      </w:r>
    </w:p>
    <w:p>
      <w:r>
        <w:br w:type="page"/>
      </w:r>
    </w:p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F2B5C"/>
          <w:rtl/>
        </w:rPr>
        <w:t xml:space="preserve">٨. الضوابط واختبارها (COSO · ISA 330)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مكتبة ضوابط مرتبطة بالمخاطر، مع اختبار الفعالية التشغيلية بأخذ عينة وتسجيل الاستثناءات.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خطوات الاستخدام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عرّف الضابط: النوع (وقائي/كاشف/تصحيحي)، التكرار، المالك، كفاية التصميم، واربطه بخطر من السجل.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أدخل حجم العينة وعدد الاستثناءات — يُحتسب المعدل ويُصنّف الضابط (فعّال/جزئي/غير فعّال) بالألوان.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الضابط ذو التصميم «لا» يُعدّ غير فعّال بالتصميم مباشرة.</w:t>
      </w:r>
    </w:p>
    <w:p>
      <w:pPr>
        <w:spacing w:after="160" w:before="100"/>
        <w:jc w:val="center"/>
      </w:pPr>
      <w:r>
        <w:drawing>
          <wp:inline distT="0" distB="0" distL="0" distR="0">
            <wp:extent cx="45720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نصيحة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الضوابط غير الفعّالة تُحوَّل بضغطة إلى ملاحظات في التبويب التالي.</w:t>
      </w:r>
    </w:p>
    <w:p>
      <w:r>
        <w:br w:type="page"/>
      </w:r>
    </w:p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F2B5C"/>
          <w:rtl/>
        </w:rPr>
        <w:t xml:space="preserve">٩. الملاحظات وخطط العمل والمتابعة (IIA)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تسجيل الملاحظات بعناصرها الخمسة وربطها بخطة عمل ومسؤول واستحقاق ونسبة إنجاز حتى الإغلاق.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خطوات الاستخدام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أدخل الملاحظة: الحالة (Condition)، المعيار (Criteria)، السبب (Cause)، الأثر (Effect)، التوصية/خطة العمل.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حدّد الأولوية والمسؤول وتاريخ الاستحقاق ونسبة الإنجاز والحالة.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ولّد الملاحظات آلياً من «الضوابط غير الفعّالة» أو من «مؤشرات المراقبة المستمرة (ISA 240)».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لا تُغلق الملاحظة إلا بعد التحقق من تنفيذ خطتها.</w:t>
      </w:r>
    </w:p>
    <w:p>
      <w:pPr>
        <w:spacing w:after="160" w:before="100"/>
        <w:jc w:val="center"/>
      </w:pPr>
      <w:r>
        <w:drawing>
          <wp:inline distT="0" distB="0" distL="0" distR="0">
            <wp:extent cx="45720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نصيحة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شريط الإنجاز والألوان يوضّحان حالة كل ملاحظة بسرعة لاجتماعات المتابعة.</w:t>
      </w:r>
    </w:p>
    <w:p>
      <w:r>
        <w:br w:type="page"/>
      </w:r>
    </w:p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F2B5C"/>
          <w:rtl/>
        </w:rPr>
        <w:t xml:space="preserve">١٠. أوراق العمل والأدلة (ISA 230 / 330)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توثيق إجراءات المراجعة وربط الأدلة والتوكيدات المغطّاة، وتتولّد أوراق العمل آلياً بدورات حقيقية من حساباتك.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خطوات الاستخدام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راجع أوراق العمل المتولّدة (النقد، المبيعات والذمم، المخزون، الأصول...) مع التوكيدات والإجراءات.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ارفع أدلة الإثبات (PDF/صور) واربطها بورقة العمل.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حدّث حالة كل ورقة (قيد الفحص/مكتمل).</w:t>
      </w:r>
    </w:p>
    <w:p>
      <w:pPr>
        <w:spacing w:after="160" w:before="100"/>
        <w:jc w:val="center"/>
      </w:pPr>
      <w:r>
        <w:drawing>
          <wp:inline distT="0" distB="0" distL="0" distR="0">
            <wp:extent cx="45720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نصيحة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الأدلة والأوراق تُدرَج ضمن حزمة المراجعة النهائية.</w:t>
      </w:r>
    </w:p>
    <w:p>
      <w:r>
        <w:br w:type="page"/>
      </w:r>
    </w:p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F2B5C"/>
          <w:rtl/>
        </w:rPr>
        <w:t xml:space="preserve">١١. الرقابة الداخلية (COSO · ISA 315/265)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تقييم مكوّنات COSO الخمسة، ورفع دفتر الأستاذ العام لتحليل المراقبة وأوجه القصور.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خطوات الاستخدام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قيّم مكوّنات الرقابة الـ13 وفق COSO.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ارفع «دفتر الأستاذ العام» ليقوم المحرك بفحص المؤشرات ورصد أوجه القصور آلياً.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راجع بطاقات: المكوّنات المُقيَّمة، الضوابط المختبَرة، أوجه القصور، والتوصيات المغلقة.</w:t>
      </w:r>
    </w:p>
    <w:p>
      <w:pPr>
        <w:spacing w:after="160" w:before="100"/>
        <w:jc w:val="center"/>
      </w:pPr>
      <w:r>
        <w:drawing>
          <wp:inline distT="0" distB="0" distL="0" distR="0">
            <wp:extent cx="45720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نصيحة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اختبار الضوابط ورصد أوجه القصور يتطلبان دفتر الأستاذ التفصيلي لا ميزان المراجعة فقط.</w:t>
      </w:r>
    </w:p>
    <w:p>
      <w:r>
        <w:br w:type="page"/>
      </w:r>
    </w:p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F2B5C"/>
          <w:rtl/>
        </w:rPr>
        <w:t xml:space="preserve">١٢. العينات والمصادقات (ISA 530 / 505)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محرك عينات إحصائية بوحدة النقد (MUS) وسحب عينات من الحركات الفعلية، وإدارة طلبات المصادقات.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خطوات الاستخدام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راجع «محرك العينات (MUS)»: المجتمع المفحوص، الأهمية المقبولة، فاصل المعاينة، وحجم العينة الموصى به.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ارفع ملف حركات تفصيلي واسحب عينة من البنود الفعلية (دون أرقام مفترضة).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وثّق العينة في أوراق العمل، وأنشئ طلبات المصادقات الخارجية.</w:t>
      </w:r>
    </w:p>
    <w:p>
      <w:pPr>
        <w:spacing w:after="160" w:before="100"/>
        <w:jc w:val="center"/>
      </w:pPr>
      <w:r>
        <w:drawing>
          <wp:inline distT="0" distB="0" distL="0" distR="0">
            <wp:extent cx="45720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نصيحة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مجتمع MUS = الإيرادات المُبلَّغة نفسها في قائمة الدخل، لضمان الاتساق.</w:t>
      </w:r>
    </w:p>
    <w:p>
      <w:r>
        <w:br w:type="page"/>
      </w:r>
    </w:p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F2B5C"/>
          <w:rtl/>
        </w:rPr>
        <w:t xml:space="preserve">١٣. فحص الاحتيال (ISA 240)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فحص قيود اليومية للبحث عن مؤشرات التلاعب من واقع دفتر الأستاذ العام.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خطوات الاستخدام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ارفع دفتر الأستاذ العام؛ يفحص المحرك القيود آلياً.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راجع المؤشرات: قيود عطلات نهاية الأسبوع، مبالغ دائرية كبيرة، وأوقات غير معتادة.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حوّل المؤشرات إلى ملاحظات للمتابعة.</w:t>
      </w:r>
    </w:p>
    <w:p>
      <w:pPr>
        <w:spacing w:after="160" w:before="100"/>
        <w:jc w:val="center"/>
      </w:pPr>
      <w:r>
        <w:drawing>
          <wp:inline distT="0" distB="0" distL="0" distR="0">
            <wp:extent cx="45720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نصيحة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بلا دفتر أستاذ، تبقى النتائج فارغة بصدق — لا تُختلق مؤشرات.</w:t>
      </w:r>
    </w:p>
    <w:p>
      <w:r>
        <w:br w:type="page"/>
      </w:r>
    </w:p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F2B5C"/>
          <w:rtl/>
        </w:rPr>
        <w:t xml:space="preserve">١٤. الزكاة والضريبة (ZATCA)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محرك احتساب الوعاء الزكوي وضريبة الدخل وفق لوائح ZATCA، وحقول إيضاحات يدوية.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خطوات الاستخدام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اضغط «استخراج من الميزان» لجلب بنود الوعاء (رأس المال، الاحتياطيات، القروض، المخصصات، الحسومات، صافي الربح) آلياً.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أدخل «إضافات الوعاء الضريبي (ZATCA)» ونِسَب الشركاء السعوديين/الأجانب لتضبط النتيجة مع الإقرار الفعلي.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راجع: إجمالي الوعاء الزكوي، الزكاة الشرعية، ضريبة الدخل، وإجمالي المخصص.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استخدم حقول «الإيضاحات اليدوية» (النشاط، الأطراف ذات العلاقة، الارتباطات، الأحداث اللاحقة).</w:t>
      </w:r>
    </w:p>
    <w:p>
      <w:pPr>
        <w:spacing w:after="160" w:before="100"/>
        <w:jc w:val="center"/>
      </w:pPr>
      <w:r>
        <w:drawing>
          <wp:inline distT="0" distB="0" distL="0" distR="0">
            <wp:extent cx="45720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نصيحة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النِسَب وبعض البنود قرارات خاصة بالمنشأة يضبطها المراجع لتطابق الإقرار المُقدَّم.</w:t>
      </w:r>
    </w:p>
    <w:p>
      <w:r>
        <w:br w:type="page"/>
      </w:r>
    </w:p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F2B5C"/>
          <w:rtl/>
        </w:rPr>
        <w:t xml:space="preserve">١٥. القوائم المالية والتقرير (ISA 700 · SOCPA)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إعداد القوائم الأربع (المركز، الدخل، التغيّرات في الملكية، التدفقات النقدية غير المباشرة) وتقرير المراجع والإيضاحات.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خطوات الاستخدام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راجع قائمة المركز (بعمود مقارنة السنة السابقة الحقيقي) وقائمة الدخل والتغيّرات والتدفقات.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راجع تقرير المراجع (مسودة) والإيضاحات المتممة (1–22)؛ تُحدَّث آلياً من بياناتك.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الأرقام مقرّبة لأقرب ريال لتطابق القوائم الرسمية.</w:t>
      </w:r>
    </w:p>
    <w:p>
      <w:pPr>
        <w:spacing w:after="160" w:before="100"/>
        <w:jc w:val="center"/>
      </w:pPr>
      <w:r>
        <w:drawing>
          <wp:inline distT="0" distB="0" distL="0" distR="0">
            <wp:extent cx="45720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نصيحة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التقرير مسوّدة تخضع لحكم المراجع؛ حدّد نوع الرأي وبيانات المكتب قبل الاعتماد.</w:t>
      </w:r>
    </w:p>
    <w:p>
      <w:r>
        <w:br w:type="page"/>
      </w:r>
    </w:p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F2B5C"/>
          <w:rtl/>
        </w:rPr>
        <w:t xml:space="preserve">١٦. تصدير حزمة المراجعة (Excel)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زر «تصدير حزمة المراجعة (Excel)» يُنتج ملفاً من ١٦ ورقة: الغلاف والفهرس، الميزان والميزان المعدل، قيود التسوية، القوائم الأربع، تقرير المراجع، تقييم COSO والضوابط وأوجه القصور، الإيضاحات، الأهمية النسبية، الزكاة والضريبة، والمصادقات — إضافة إلى أوراق سجل المخاطر والضوابط والملاحظات.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كل الأرقام تُصدَّر كقيم رقمية (قابلة للجمع في Excel) مع اتجاه صفحات RTL وعرض أعمدة مناسب.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إن لم تتوفر مكتبة Excel في المتصفح، تُصدَّر الحزمة بصيغة CSV تلقائياً.</w:t>
      </w:r>
    </w:p>
    <w:p>
      <w:r>
        <w:br w:type="page"/>
      </w:r>
    </w:p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F2B5C"/>
          <w:rtl/>
        </w:rPr>
        <w:t xml:space="preserve">١٧. خادم إعادة البناء (متعدد المستخدمين)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rtl/>
        </w:rPr>
        <w:t xml:space="preserve">لتفعيل تعدد المستخدمين والأمان، يوجد خادم منفصل تحت مجلد backend/ (مكتبة بايثون القياسية + SQLite).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التشغيل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cd backend ثم python3 audit_backend.py — يستمع على http://localhost:8090 ويطبع كلمة سر المدير الأولية مرة واحدة (غيّرها فوراً).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الأدوار (RBAC)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admin (كل الصلاحيات) · internal_auditor (كتابة المخاطر/الضوابط/الملاحظات/أوراق العمل) · manager (اعتماد وإغلاق) · external_auditor (قراءة + طلبات PBC) · viewer (قراءة).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E3A5F"/>
          <w:rtl/>
        </w:rPr>
        <w:t xml:space="preserve">المزايا الأمنية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تسجيل دخول بجلسات، صلاحيات على كل عملية، سجل تدقيق غير قابل للتلاعب، فصل وظيفي، إدارة أدلة ببصمة SHA‑256، بوابة مراجع خارجي وقائمة PBC، ونسخ احتياطي مشفّر.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راجع backend/README.md للتفاصيل الكاملة وواجهة الـ API.</w:t>
      </w:r>
    </w:p>
    <w:p>
      <w:r>
        <w:br w:type="page"/>
      </w:r>
    </w:p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F2B5C"/>
          <w:rtl/>
        </w:rPr>
        <w:t xml:space="preserve">١٨. أسئلة شائعة وحل المشكلات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لا يفتح ملف Excel؟ احفظه CSV وارفعه.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ظهر «غير متوفر»؟ يعني أن الرقم لا يمكن اشتقاقه من بياناتك (صدقاً)، لا خطأ.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اختفى عمود الفترات بعد التحديث؟ أعد اختيار العمود — تُحفظ الأرصدة الخام وتُستعاد.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كيف أبدأ عميلاً جديداً دون فقد القديم؟ استخدم «تصفير وبدء عميل جديد»؛ القدامى في «العملاء المحفوظون».</w:t>
      </w:r>
    </w:p>
    <w:p>
      <w:pPr>
        <w:pStyle w:val="ListParagraph"/>
        <w:numPr>
          <w:ilvl w:val="0"/>
          <w:numId w:val="1"/>
        </w:numPr>
        <w:bidi/>
        <w:spacing w:after="50" w:line="290"/>
        <w:jc w:val="right"/>
      </w:pPr>
      <w:r>
        <w:rPr>
          <w:rFonts w:ascii="Arial" w:cs="Arial" w:eastAsia="Arial" w:hAnsi="Arial"/>
          <w:rtl/>
        </w:rPr>
        <w:t xml:space="preserve">هل تُرسل بياناتي لأي جهة؟ لا؛ الواجهة تحفظ محلياً في متصفحك فقط.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F2B5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909e16266d4897f7d1567de33de15c75306b5e7.png"/><Relationship Id="rId8" Type="http://schemas.openxmlformats.org/officeDocument/2006/relationships/image" Target="media/400451a7450265418515af8c17869f41298ea2a9.png"/><Relationship Id="rId9" Type="http://schemas.openxmlformats.org/officeDocument/2006/relationships/image" Target="media/5168239d75f0cd953536ababc060737be1e7bdc7.png"/><Relationship Id="rId10" Type="http://schemas.openxmlformats.org/officeDocument/2006/relationships/image" Target="media/39022b04ab4b1369e7ba7db7cc9a0b1e82a48252.png"/><Relationship Id="rId11" Type="http://schemas.openxmlformats.org/officeDocument/2006/relationships/image" Target="media/9ff5b2b9355c21caeb9638ffa907afcb47caa7a3.png"/><Relationship Id="rId12" Type="http://schemas.openxmlformats.org/officeDocument/2006/relationships/image" Target="media/6cfd4d9bc4b1965a0470448ac5b198462264f0b6.png"/><Relationship Id="rId13" Type="http://schemas.openxmlformats.org/officeDocument/2006/relationships/image" Target="media/29d0e4e358f71932d9f52f8565b6cdfc07de8fff.png"/><Relationship Id="rId14" Type="http://schemas.openxmlformats.org/officeDocument/2006/relationships/image" Target="media/09977f29fa89edcdfecd159950353be29db46132.png"/><Relationship Id="rId15" Type="http://schemas.openxmlformats.org/officeDocument/2006/relationships/image" Target="media/ee1689ea3a35b7722e90badb15448df5e42aa0f0.png"/><Relationship Id="rId16" Type="http://schemas.openxmlformats.org/officeDocument/2006/relationships/image" Target="media/25f36ece6046087ad7ecf07d374bb58050c933dd.png"/><Relationship Id="rId17" Type="http://schemas.openxmlformats.org/officeDocument/2006/relationships/image" Target="media/b25f33b646301873babfe01ce590f16325ac1409.png"/><Relationship Id="rId18" Type="http://schemas.openxmlformats.org/officeDocument/2006/relationships/image" Target="media/b7c734dde988396f4ed2e99f029e88dcea1d855c.png"/><Relationship Id="rId19" Type="http://schemas.openxmlformats.org/officeDocument/2006/relationships/image" Target="media/0bdb8f1fa60abb437c3e3a69db991689e6278caa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2026-09-14T15:06:53.252Z</dcterms:created>
  <dcterms:modified xsi:type="dcterms:W3CDTF">2026-09-14T15:06:53.257Z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