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// Copyright davidegironi.blogspot.com/p/risk-disclaimer.html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MQ135_DEFAULTPPM 392 // Default ppm of CO2 for calibration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MQ135_DEFAULTRO 41763 // Default Ro for MQ135_DEFAULTPPM ppm of CO2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MQ135_SCALINGFACTOR 116.6020682 // CO2 gas value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MQ135_EXPONENT -2.769034857 // CO2 gas value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MQ135_MAXRSRO 2.428 // CO2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MQ135_MINRSRO 0.358 // CO2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double mq135_getppm(long resvalue, long ro)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double ret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double validinterval = resvalue/(double)ro;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if (validinterval &gt; MQ135_MINRSRO &amp;&amp; validinterval &lt; MQ135_MAXRSRO)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ret = (double)MQ135_SCALINGFACTOR * pow( ((double)resvalue/ro), MQ135_EXPONENT 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return ret;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