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Lab_Elective_1.c</w:t>
              <w:br w:type="textWrapping"/>
              <w:t xml:space="preserve"> *</w:t>
              <w:br w:type="textWrapping"/>
              <w:t xml:space="preserve"> * Created: 10/22/2018 8:19:15 PM</w:t>
              <w:br w:type="textWrapping"/>
              <w:t xml:space="preserve"> * Author : David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F_CPU 1000000UL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MHz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&lt;util/delay.h&gt;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_avr_timer_cntcurr = _avr_timer_M;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ISR(TIMER1_COMPA_vect)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_avr_timer_cntcurr--;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TimerISR();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_avr_timer_cntcurr = _avr_timer_M;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_avr_timer_M = M;</w:t>
              <w:br w:type="textWrapping"/>
              <w:t xml:space="preserve">    _avr_timer_cntcurr = _avr_timer_M;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input;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illuminated LED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ADEN: Enables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ADSC: Starts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ADATE: Enables auto-triggering, allowing for constant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</w:t>
              <w:tab/>
              <w:t xml:space="preserve">analog to digital conversions.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Note: Do not need to set the DDRA to enable the Analog to Digital circuitry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A2D_init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ADEN)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ADSC)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ADATE);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adc_read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single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write '1' to ADIF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wait for conversion to complete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ADIF becomes '0' again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ADCSRA &amp;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Pins on PORTA are used as input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default channel is 0 (PA0)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value of pinNum determines the pin on PORTA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used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Valid values range between 0 and 7, where the value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represents the desired pin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Set_A2D_Pin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pinNum)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ADMUX = (pinNum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? pinNum : ADMUX;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Allow channel to stabilize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 )</w:t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"nop"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LED_States {Wait, Left, Right} LED_State;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LED_Tick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  <w:t xml:space="preserve">LED_State= Wait;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ab/>
              <w:t xml:space="preserve"> 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displayCol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selectRow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0xFD;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0xBF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0xFB;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0xDF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0xF7;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0xEF;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0xDF;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0xBF;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0x6F;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A2D_init();</w:t>
              <w:br w:type="textWrapping"/>
              <w:t xml:space="preserve">    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TimerOn();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Replace with your application code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PORTA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PORTD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PORTC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(!TimerFlag);</w:t>
              <w:br w:type="textWrapping"/>
              <w:t xml:space="preserve">   </w:t>
              <w:tab/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Set_A2D_Pin(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 xml:space="preserve"> selectRow();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_delay_ms(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Set_A2D_Pin(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 xml:space="preserve"> displayCol();</w:t>
              <w:br w:type="textWrapping"/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