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25A" w:rsidRDefault="00B6525A">
      <w:r>
        <w:t>CSE518A</w:t>
      </w:r>
    </w:p>
    <w:p w:rsidR="00B6525A" w:rsidRDefault="00B6525A">
      <w:r>
        <w:t>David Huang</w:t>
      </w:r>
    </w:p>
    <w:p w:rsidR="00B6525A" w:rsidRDefault="00B6525A">
      <w:r>
        <w:t>Assignment 2 Writeup</w:t>
      </w:r>
    </w:p>
    <w:p w:rsidR="00B6525A" w:rsidRDefault="00B6525A">
      <w:pPr>
        <w:rPr>
          <w:b/>
          <w:bCs/>
        </w:rPr>
      </w:pPr>
      <w:r>
        <w:t xml:space="preserve">Discussed with: </w:t>
      </w:r>
      <w:r w:rsidRPr="00B6525A">
        <w:rPr>
          <w:bCs/>
        </w:rPr>
        <w:t xml:space="preserve">John </w:t>
      </w:r>
      <w:proofErr w:type="spellStart"/>
      <w:r w:rsidRPr="00B6525A">
        <w:rPr>
          <w:bCs/>
        </w:rPr>
        <w:t>Kirchenbauer</w:t>
      </w:r>
      <w:proofErr w:type="spellEnd"/>
      <w:r w:rsidR="00EA087A">
        <w:rPr>
          <w:bCs/>
        </w:rPr>
        <w:t>, Reese Wills</w:t>
      </w:r>
      <w:bookmarkStart w:id="0" w:name="_GoBack"/>
      <w:bookmarkEnd w:id="0"/>
    </w:p>
    <w:p w:rsidR="00B6525A" w:rsidRDefault="00702261">
      <w:pPr>
        <w:rPr>
          <w:bCs/>
        </w:rPr>
      </w:pPr>
      <w:r>
        <w:rPr>
          <w:b/>
          <w:bCs/>
        </w:rPr>
        <w:t xml:space="preserve">Part </w:t>
      </w:r>
      <w:r w:rsidR="007014B0">
        <w:rPr>
          <w:b/>
          <w:bCs/>
        </w:rPr>
        <w:t xml:space="preserve">1-4 </w:t>
      </w:r>
    </w:p>
    <w:p w:rsidR="0099321D" w:rsidRDefault="00B13CB2">
      <w:pPr>
        <w:rPr>
          <w:bCs/>
        </w:rPr>
      </w:pPr>
      <w:r>
        <w:rPr>
          <w:bCs/>
        </w:rPr>
        <w:t>Brief description of each algorithm’s implementation:</w:t>
      </w:r>
    </w:p>
    <w:p w:rsidR="00C74A37" w:rsidRDefault="00C74A37" w:rsidP="0013387A">
      <w:pPr>
        <w:pStyle w:val="ListParagraph"/>
        <w:numPr>
          <w:ilvl w:val="0"/>
          <w:numId w:val="2"/>
        </w:numPr>
        <w:rPr>
          <w:bCs/>
        </w:rPr>
      </w:pPr>
      <w:r w:rsidRPr="00A11CB2">
        <w:rPr>
          <w:b/>
          <w:bCs/>
        </w:rPr>
        <w:t>Majority Vote:</w:t>
      </w:r>
      <w:r w:rsidRPr="0013387A">
        <w:rPr>
          <w:bCs/>
        </w:rPr>
        <w:t xml:space="preserve"> </w:t>
      </w:r>
      <w:r w:rsidR="00663103">
        <w:rPr>
          <w:bCs/>
        </w:rPr>
        <w:t>for each task</w:t>
      </w:r>
      <w:r w:rsidR="006F7FDC">
        <w:rPr>
          <w:bCs/>
        </w:rPr>
        <w:t xml:space="preserve">, count the votes for “1”, </w:t>
      </w:r>
      <w:r w:rsidR="005E3B64">
        <w:rPr>
          <w:bCs/>
        </w:rPr>
        <w:t>if the count is greater than k/2 then predict 1</w:t>
      </w:r>
      <w:r w:rsidR="006D3802">
        <w:rPr>
          <w:bCs/>
        </w:rPr>
        <w:t>, otherwise 0</w:t>
      </w:r>
    </w:p>
    <w:p w:rsidR="00C7249F" w:rsidRDefault="00C7249F" w:rsidP="0013387A">
      <w:pPr>
        <w:pStyle w:val="ListParagraph"/>
        <w:numPr>
          <w:ilvl w:val="0"/>
          <w:numId w:val="2"/>
        </w:numPr>
        <w:rPr>
          <w:bCs/>
        </w:rPr>
      </w:pPr>
      <w:r w:rsidRPr="00762115">
        <w:rPr>
          <w:b/>
          <w:bCs/>
        </w:rPr>
        <w:t>EM:</w:t>
      </w:r>
      <w:r>
        <w:rPr>
          <w:bCs/>
        </w:rPr>
        <w:t xml:space="preserve"> </w:t>
      </w:r>
      <w:r w:rsidR="000A553D">
        <w:rPr>
          <w:bCs/>
        </w:rPr>
        <w:t xml:space="preserve">use Binomial CDF to </w:t>
      </w:r>
      <w:r w:rsidR="008918ED">
        <w:rPr>
          <w:bCs/>
        </w:rPr>
        <w:t>calculate likelihood of each worker answering correctly (latent parameter), then</w:t>
      </w:r>
      <w:r w:rsidR="00867FB7">
        <w:rPr>
          <w:bCs/>
        </w:rPr>
        <w:t xml:space="preserve"> </w:t>
      </w:r>
      <w:r w:rsidR="00106950">
        <w:rPr>
          <w:bCs/>
        </w:rPr>
        <w:t xml:space="preserve">adjust predictions by </w:t>
      </w:r>
      <w:r w:rsidR="00D7480E">
        <w:rPr>
          <w:bCs/>
        </w:rPr>
        <w:t xml:space="preserve">doing </w:t>
      </w:r>
      <w:r w:rsidR="00406145">
        <w:rPr>
          <w:bCs/>
        </w:rPr>
        <w:t>D*</w:t>
      </w:r>
      <w:r w:rsidR="002815FF">
        <w:rPr>
          <w:bCs/>
        </w:rPr>
        <w:t xml:space="preserve">theta (where D is </w:t>
      </w:r>
      <w:r w:rsidR="00E55C56">
        <w:rPr>
          <w:bCs/>
        </w:rPr>
        <w:t xml:space="preserve">matrix of worker responses for </w:t>
      </w:r>
      <w:r w:rsidR="006D248E">
        <w:rPr>
          <w:bCs/>
        </w:rPr>
        <w:t>each task, and theta is worker quality vector)</w:t>
      </w:r>
      <w:r w:rsidR="00823A4F">
        <w:rPr>
          <w:bCs/>
        </w:rPr>
        <w:t xml:space="preserve"> and normalizing</w:t>
      </w:r>
      <w:r w:rsidR="007C24CB">
        <w:rPr>
          <w:bCs/>
        </w:rPr>
        <w:t>, repeat until convergence</w:t>
      </w:r>
    </w:p>
    <w:p w:rsidR="00214B07" w:rsidRDefault="002F355E" w:rsidP="0013387A">
      <w:pPr>
        <w:pStyle w:val="ListParagraph"/>
        <w:numPr>
          <w:ilvl w:val="0"/>
          <w:numId w:val="2"/>
        </w:numPr>
        <w:rPr>
          <w:bCs/>
        </w:rPr>
      </w:pPr>
      <w:r w:rsidRPr="00E34855">
        <w:rPr>
          <w:b/>
          <w:bCs/>
        </w:rPr>
        <w:t>SVD:</w:t>
      </w:r>
      <w:r>
        <w:rPr>
          <w:bCs/>
        </w:rPr>
        <w:t xml:space="preserve"> </w:t>
      </w:r>
      <w:r w:rsidR="00DF241F">
        <w:rPr>
          <w:bCs/>
        </w:rPr>
        <w:t xml:space="preserve">following the approach from </w:t>
      </w:r>
      <w:r w:rsidR="00DF241F">
        <w:rPr>
          <w:bCs/>
          <w:i/>
        </w:rPr>
        <w:t>Who Moderates the Moderators?</w:t>
      </w:r>
      <w:r w:rsidR="00524DC1">
        <w:rPr>
          <w:bCs/>
        </w:rPr>
        <w:t xml:space="preserve"> </w:t>
      </w:r>
      <w:r w:rsidR="00EE43AD">
        <w:rPr>
          <w:bCs/>
        </w:rPr>
        <w:t xml:space="preserve">We </w:t>
      </w:r>
      <w:r w:rsidR="00FC4C61">
        <w:rPr>
          <w:bCs/>
        </w:rPr>
        <w:t>“cheat” and find a trustworthy worker</w:t>
      </w:r>
      <w:r w:rsidR="00BA1A80">
        <w:rPr>
          <w:bCs/>
        </w:rPr>
        <w:t xml:space="preserve"> (highest accuracy)</w:t>
      </w:r>
      <w:r w:rsidR="00FC4C61">
        <w:rPr>
          <w:bCs/>
        </w:rPr>
        <w:t xml:space="preserve">, </w:t>
      </w:r>
      <w:r w:rsidR="009A53C2">
        <w:rPr>
          <w:bCs/>
        </w:rPr>
        <w:t xml:space="preserve">perform SVD on </w:t>
      </w:r>
      <w:r w:rsidR="008948EB">
        <w:rPr>
          <w:bCs/>
        </w:rPr>
        <w:t xml:space="preserve">matrix of worker responses, </w:t>
      </w:r>
      <w:r w:rsidR="002B43D6">
        <w:rPr>
          <w:bCs/>
        </w:rPr>
        <w:t xml:space="preserve">take </w:t>
      </w:r>
      <w:r w:rsidR="006B1985">
        <w:rPr>
          <w:bCs/>
        </w:rPr>
        <w:t xml:space="preserve">sign of </w:t>
      </w:r>
      <w:r w:rsidR="002B43D6">
        <w:rPr>
          <w:bCs/>
        </w:rPr>
        <w:t>top eigenvector</w:t>
      </w:r>
      <w:r w:rsidR="00410564">
        <w:rPr>
          <w:bCs/>
        </w:rPr>
        <w:t>, v,</w:t>
      </w:r>
      <w:r w:rsidR="002B43D6">
        <w:rPr>
          <w:bCs/>
        </w:rPr>
        <w:t xml:space="preserve"> from left singular matrix</w:t>
      </w:r>
      <w:r w:rsidR="00684C37">
        <w:rPr>
          <w:bCs/>
        </w:rPr>
        <w:t xml:space="preserve"> </w:t>
      </w:r>
      <w:r w:rsidR="000D198F">
        <w:rPr>
          <w:bCs/>
        </w:rPr>
        <w:t xml:space="preserve">and </w:t>
      </w:r>
      <w:r w:rsidR="00470FE6">
        <w:rPr>
          <w:bCs/>
        </w:rPr>
        <w:t xml:space="preserve">correct </w:t>
      </w:r>
      <w:r w:rsidR="00785083">
        <w:rPr>
          <w:bCs/>
        </w:rPr>
        <w:t xml:space="preserve">best worker’s responses based off </w:t>
      </w:r>
      <w:r w:rsidR="00EE3874">
        <w:rPr>
          <w:bCs/>
        </w:rPr>
        <w:t>v</w:t>
      </w:r>
    </w:p>
    <w:p w:rsidR="00DD11BF" w:rsidRDefault="00DD11BF" w:rsidP="00DD11BF">
      <w:pPr>
        <w:rPr>
          <w:bCs/>
        </w:rPr>
      </w:pPr>
      <w:r>
        <w:rPr>
          <w:bCs/>
        </w:rPr>
        <w:t>Below are the results from each model.</w:t>
      </w:r>
    </w:p>
    <w:p w:rsidR="0054032F" w:rsidRPr="00DD11BF" w:rsidRDefault="00D84362" w:rsidP="00DD11BF">
      <w:pPr>
        <w:rPr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2416712</wp:posOffset>
            </wp:positionH>
            <wp:positionV relativeFrom="paragraph">
              <wp:posOffset>1905</wp:posOffset>
            </wp:positionV>
            <wp:extent cx="4307840" cy="2681605"/>
            <wp:effectExtent l="0" t="0" r="0" b="0"/>
            <wp:wrapTight wrapText="bothSides">
              <wp:wrapPolygon edited="0">
                <wp:start x="0" y="0"/>
                <wp:lineTo x="0" y="21482"/>
                <wp:lineTo x="21524" y="21482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g_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065"/>
        <w:gridCol w:w="1080"/>
        <w:gridCol w:w="1007"/>
      </w:tblGrid>
      <w:tr w:rsidR="00AB0036" w:rsidTr="008D6502">
        <w:tc>
          <w:tcPr>
            <w:tcW w:w="460" w:type="dxa"/>
            <w:vAlign w:val="bottom"/>
          </w:tcPr>
          <w:p w:rsidR="00AB0036" w:rsidRDefault="00AB0036" w:rsidP="00A076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065" w:type="dxa"/>
            <w:vAlign w:val="bottom"/>
          </w:tcPr>
          <w:p w:rsidR="00AB0036" w:rsidRDefault="00AB0036" w:rsidP="00A076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MV</w:t>
            </w:r>
          </w:p>
        </w:tc>
        <w:tc>
          <w:tcPr>
            <w:tcW w:w="1080" w:type="dxa"/>
            <w:vAlign w:val="bottom"/>
          </w:tcPr>
          <w:p w:rsidR="00AB0036" w:rsidRDefault="00AB0036" w:rsidP="00A076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</w:t>
            </w:r>
          </w:p>
        </w:tc>
        <w:tc>
          <w:tcPr>
            <w:tcW w:w="990" w:type="dxa"/>
            <w:vAlign w:val="bottom"/>
          </w:tcPr>
          <w:p w:rsidR="00AB0036" w:rsidRDefault="00AB0036" w:rsidP="00A076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SVD</w:t>
            </w:r>
          </w:p>
        </w:tc>
      </w:tr>
      <w:tr w:rsidR="00AB0036" w:rsidTr="008D6502">
        <w:tc>
          <w:tcPr>
            <w:tcW w:w="46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5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0.2375</w:t>
            </w:r>
          </w:p>
        </w:tc>
        <w:tc>
          <w:tcPr>
            <w:tcW w:w="108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0.2375</w:t>
            </w:r>
          </w:p>
        </w:tc>
        <w:tc>
          <w:tcPr>
            <w:tcW w:w="99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0.9425</w:t>
            </w:r>
          </w:p>
        </w:tc>
      </w:tr>
      <w:tr w:rsidR="00AB0036" w:rsidTr="008D6502">
        <w:tc>
          <w:tcPr>
            <w:tcW w:w="46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65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0.21625</w:t>
            </w:r>
          </w:p>
        </w:tc>
        <w:tc>
          <w:tcPr>
            <w:tcW w:w="108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0.17875</w:t>
            </w:r>
          </w:p>
        </w:tc>
        <w:tc>
          <w:tcPr>
            <w:tcW w:w="99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0.8975</w:t>
            </w:r>
          </w:p>
        </w:tc>
      </w:tr>
      <w:tr w:rsidR="00AB0036" w:rsidTr="008D6502">
        <w:tc>
          <w:tcPr>
            <w:tcW w:w="46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65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0.215</w:t>
            </w:r>
          </w:p>
        </w:tc>
        <w:tc>
          <w:tcPr>
            <w:tcW w:w="108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99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0.845</w:t>
            </w:r>
          </w:p>
        </w:tc>
      </w:tr>
      <w:tr w:rsidR="00AB0036" w:rsidTr="008D6502">
        <w:tc>
          <w:tcPr>
            <w:tcW w:w="46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65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0.15125</w:t>
            </w:r>
          </w:p>
        </w:tc>
        <w:tc>
          <w:tcPr>
            <w:tcW w:w="108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0.13625</w:t>
            </w:r>
          </w:p>
        </w:tc>
        <w:tc>
          <w:tcPr>
            <w:tcW w:w="99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0.78625</w:t>
            </w:r>
          </w:p>
        </w:tc>
      </w:tr>
      <w:tr w:rsidR="00AB0036" w:rsidTr="008D6502">
        <w:tc>
          <w:tcPr>
            <w:tcW w:w="46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65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0.1475</w:t>
            </w:r>
          </w:p>
        </w:tc>
        <w:tc>
          <w:tcPr>
            <w:tcW w:w="108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0.12375</w:t>
            </w:r>
          </w:p>
        </w:tc>
        <w:tc>
          <w:tcPr>
            <w:tcW w:w="99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0.73375</w:t>
            </w:r>
          </w:p>
        </w:tc>
      </w:tr>
      <w:tr w:rsidR="00AB0036" w:rsidTr="008D6502">
        <w:tc>
          <w:tcPr>
            <w:tcW w:w="46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65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0.1225</w:t>
            </w:r>
          </w:p>
        </w:tc>
        <w:tc>
          <w:tcPr>
            <w:tcW w:w="108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0.1125</w:t>
            </w:r>
          </w:p>
        </w:tc>
        <w:tc>
          <w:tcPr>
            <w:tcW w:w="99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0.6775</w:t>
            </w:r>
          </w:p>
        </w:tc>
      </w:tr>
      <w:tr w:rsidR="00AB0036" w:rsidTr="008D6502">
        <w:tc>
          <w:tcPr>
            <w:tcW w:w="46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65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0.12625</w:t>
            </w:r>
          </w:p>
        </w:tc>
        <w:tc>
          <w:tcPr>
            <w:tcW w:w="108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0.0925</w:t>
            </w:r>
          </w:p>
        </w:tc>
        <w:tc>
          <w:tcPr>
            <w:tcW w:w="99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0.68375</w:t>
            </w:r>
          </w:p>
        </w:tc>
      </w:tr>
      <w:tr w:rsidR="00AB0036" w:rsidTr="008D6502">
        <w:tc>
          <w:tcPr>
            <w:tcW w:w="46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65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0.095</w:t>
            </w:r>
          </w:p>
        </w:tc>
        <w:tc>
          <w:tcPr>
            <w:tcW w:w="108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0.10125</w:t>
            </w:r>
          </w:p>
        </w:tc>
        <w:tc>
          <w:tcPr>
            <w:tcW w:w="99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0.6425</w:t>
            </w:r>
          </w:p>
        </w:tc>
      </w:tr>
      <w:tr w:rsidR="00AB0036" w:rsidTr="008D6502">
        <w:tc>
          <w:tcPr>
            <w:tcW w:w="46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65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0.11875</w:t>
            </w:r>
          </w:p>
        </w:tc>
        <w:tc>
          <w:tcPr>
            <w:tcW w:w="108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0.0925</w:t>
            </w:r>
          </w:p>
        </w:tc>
        <w:tc>
          <w:tcPr>
            <w:tcW w:w="990" w:type="dxa"/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0.5375</w:t>
            </w:r>
          </w:p>
        </w:tc>
      </w:tr>
      <w:tr w:rsidR="00AB0036" w:rsidTr="00A30038">
        <w:tc>
          <w:tcPr>
            <w:tcW w:w="460" w:type="dxa"/>
            <w:tcBorders>
              <w:bottom w:val="single" w:sz="4" w:space="0" w:color="auto"/>
            </w:tcBorders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0.08125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0.08875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</w:tcPr>
          <w:p w:rsidR="00AB0036" w:rsidRDefault="00AB0036" w:rsidP="00A0765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0.505</w:t>
            </w:r>
          </w:p>
        </w:tc>
      </w:tr>
      <w:tr w:rsidR="00AB0036" w:rsidTr="00A30038">
        <w:tc>
          <w:tcPr>
            <w:tcW w:w="3595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:rsidR="00AB0036" w:rsidRDefault="00AB0036" w:rsidP="00A076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 1: Average error rate</w:t>
            </w:r>
          </w:p>
        </w:tc>
      </w:tr>
    </w:tbl>
    <w:p w:rsidR="00A75946" w:rsidRDefault="00A75946" w:rsidP="008F75D5"/>
    <w:p w:rsidR="00B4793C" w:rsidRDefault="00CA6E86" w:rsidP="008F75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92C8E">
        <w:t xml:space="preserve">  </w:t>
      </w:r>
      <w:r>
        <w:t xml:space="preserve">Figure 2: </w:t>
      </w:r>
      <w:r w:rsidR="00D13113">
        <w:t>(</w:t>
      </w:r>
      <w:r w:rsidR="00760F72" w:rsidRPr="00760F72">
        <w:rPr>
          <w:b/>
        </w:rPr>
        <w:t xml:space="preserve">Part </w:t>
      </w:r>
      <w:r w:rsidR="00D13113" w:rsidRPr="009A5770">
        <w:rPr>
          <w:b/>
        </w:rPr>
        <w:t>5</w:t>
      </w:r>
      <w:r w:rsidR="00D13113">
        <w:t xml:space="preserve">) </w:t>
      </w:r>
      <w:r w:rsidR="00A86029">
        <w:t>Error Rate Trend</w:t>
      </w:r>
    </w:p>
    <w:p w:rsidR="00AC78ED" w:rsidRDefault="00327D63" w:rsidP="008F75D5">
      <w:pPr>
        <w:rPr>
          <w:b/>
        </w:rPr>
      </w:pPr>
      <w:r>
        <w:rPr>
          <w:b/>
        </w:rPr>
        <w:t xml:space="preserve">Part </w:t>
      </w:r>
      <w:r w:rsidR="006504F9" w:rsidRPr="006504F9">
        <w:rPr>
          <w:b/>
        </w:rPr>
        <w:t>6</w:t>
      </w:r>
    </w:p>
    <w:p w:rsidR="00934010" w:rsidRDefault="00A04F22" w:rsidP="008F75D5">
      <w:pPr>
        <w:rPr>
          <w:bCs/>
        </w:rPr>
      </w:pPr>
      <w:r>
        <w:rPr>
          <w:bCs/>
        </w:rPr>
        <w:t>The clear trend is prediction accuracy increases as more workers are provided to the algorithms.</w:t>
      </w:r>
      <w:r w:rsidR="0070262C">
        <w:rPr>
          <w:bCs/>
        </w:rPr>
        <w:t xml:space="preserve"> </w:t>
      </w:r>
      <w:r w:rsidR="00EA2739">
        <w:rPr>
          <w:bCs/>
        </w:rPr>
        <w:t xml:space="preserve">Out of all the algorithms MV and EM perform the best most likely because they are less sensitive to sparse data. </w:t>
      </w:r>
      <w:r w:rsidR="0009079D">
        <w:rPr>
          <w:bCs/>
        </w:rPr>
        <w:t xml:space="preserve">The SVD algorithm </w:t>
      </w:r>
      <w:r w:rsidR="00A34855">
        <w:rPr>
          <w:bCs/>
        </w:rPr>
        <w:t xml:space="preserve">is only able to do just as good as random guessing since </w:t>
      </w:r>
      <w:r w:rsidR="00352FC9">
        <w:rPr>
          <w:bCs/>
        </w:rPr>
        <w:t>most tasks are missing workers.</w:t>
      </w:r>
      <w:r w:rsidR="00C63DE5">
        <w:rPr>
          <w:bCs/>
        </w:rPr>
        <w:t xml:space="preserve"> EM and MV follow each other closely and don’t seem </w:t>
      </w:r>
      <w:r w:rsidR="003B77E1">
        <w:rPr>
          <w:bCs/>
        </w:rPr>
        <w:t xml:space="preserve">to diverge much. </w:t>
      </w:r>
      <w:r w:rsidR="00987D94">
        <w:rPr>
          <w:bCs/>
        </w:rPr>
        <w:t>For this particular dataset</w:t>
      </w:r>
      <w:r w:rsidR="00271240">
        <w:rPr>
          <w:bCs/>
        </w:rPr>
        <w:t xml:space="preserve"> this</w:t>
      </w:r>
      <w:r w:rsidR="00616543">
        <w:rPr>
          <w:bCs/>
        </w:rPr>
        <w:t xml:space="preserve"> behavior</w:t>
      </w:r>
      <w:r w:rsidR="00271240">
        <w:rPr>
          <w:bCs/>
        </w:rPr>
        <w:t xml:space="preserve"> might mean that </w:t>
      </w:r>
      <w:r w:rsidR="00F51B35">
        <w:rPr>
          <w:bCs/>
        </w:rPr>
        <w:t xml:space="preserve">all the workers </w:t>
      </w:r>
      <w:r w:rsidR="005B34EE">
        <w:rPr>
          <w:bCs/>
        </w:rPr>
        <w:t>are reliable (</w:t>
      </w:r>
      <w:r w:rsidR="00F74D8D">
        <w:rPr>
          <w:bCs/>
        </w:rPr>
        <w:t>answer correctly w/ high likelihood)</w:t>
      </w:r>
      <w:r w:rsidR="001A11FD">
        <w:rPr>
          <w:bCs/>
        </w:rPr>
        <w:t>, so</w:t>
      </w:r>
      <w:r w:rsidR="00934010">
        <w:rPr>
          <w:bCs/>
        </w:rPr>
        <w:t xml:space="preserve"> assigning weights to a worker is effectively the same as doing M</w:t>
      </w:r>
      <w:r w:rsidR="008B3FEA">
        <w:rPr>
          <w:bCs/>
        </w:rPr>
        <w:t>V</w:t>
      </w:r>
      <w:r w:rsidR="0077584C">
        <w:rPr>
          <w:bCs/>
        </w:rPr>
        <w:t xml:space="preserve"> (where weight is technically 1)</w:t>
      </w:r>
      <w:r w:rsidR="008B3FEA">
        <w:rPr>
          <w:bCs/>
        </w:rPr>
        <w:t>.</w:t>
      </w:r>
    </w:p>
    <w:p w:rsidR="00AF7EC7" w:rsidRPr="008600B4" w:rsidRDefault="00733776" w:rsidP="008600B4">
      <w:pPr>
        <w:rPr>
          <w:bCs/>
        </w:rPr>
      </w:pPr>
      <w:r>
        <w:rPr>
          <w:bCs/>
        </w:rPr>
        <w:t xml:space="preserve">An interesting characteristic of EM I noticed on this dataset was that it </w:t>
      </w:r>
      <w:r w:rsidR="00ED4A02">
        <w:rPr>
          <w:bCs/>
        </w:rPr>
        <w:t xml:space="preserve">seemed to </w:t>
      </w:r>
      <w:r>
        <w:rPr>
          <w:bCs/>
        </w:rPr>
        <w:t>converge quite quickly.</w:t>
      </w:r>
      <w:r w:rsidR="00D44F39">
        <w:rPr>
          <w:bCs/>
        </w:rPr>
        <w:t xml:space="preserve"> I </w:t>
      </w:r>
      <w:r w:rsidR="00050DA3">
        <w:rPr>
          <w:bCs/>
        </w:rPr>
        <w:t>decided to test this</w:t>
      </w:r>
      <w:r w:rsidR="00EC1DAF">
        <w:rPr>
          <w:bCs/>
        </w:rPr>
        <w:t xml:space="preserve">, so </w:t>
      </w:r>
      <w:proofErr w:type="spellStart"/>
      <w:r w:rsidR="00EC1DAF">
        <w:rPr>
          <w:bCs/>
        </w:rPr>
        <w:t xml:space="preserve">I </w:t>
      </w:r>
      <w:proofErr w:type="spellEnd"/>
      <w:r w:rsidR="00D44F39">
        <w:rPr>
          <w:bCs/>
        </w:rPr>
        <w:t>varied the max number of iterations between 10 and 20</w:t>
      </w:r>
      <w:r w:rsidR="00A534A9">
        <w:rPr>
          <w:bCs/>
        </w:rPr>
        <w:t xml:space="preserve"> but </w:t>
      </w:r>
      <w:r w:rsidR="00D44F39">
        <w:rPr>
          <w:bCs/>
        </w:rPr>
        <w:t>found little to no difference in the performance of the algorith</w:t>
      </w:r>
      <w:r w:rsidR="00744592">
        <w:rPr>
          <w:bCs/>
        </w:rPr>
        <w:t>m.</w:t>
      </w:r>
    </w:p>
    <w:sectPr w:rsidR="00AF7EC7" w:rsidRPr="008600B4" w:rsidSect="008C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31831"/>
    <w:multiLevelType w:val="multilevel"/>
    <w:tmpl w:val="A4C0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F3684"/>
    <w:multiLevelType w:val="hybridMultilevel"/>
    <w:tmpl w:val="F680412C"/>
    <w:lvl w:ilvl="0" w:tplc="5E7AD5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165C4"/>
    <w:multiLevelType w:val="multilevel"/>
    <w:tmpl w:val="BF58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D5"/>
    <w:rsid w:val="0001787F"/>
    <w:rsid w:val="0002291F"/>
    <w:rsid w:val="00050DA3"/>
    <w:rsid w:val="0009079D"/>
    <w:rsid w:val="00094AEB"/>
    <w:rsid w:val="000A553D"/>
    <w:rsid w:val="000A7B11"/>
    <w:rsid w:val="000D198F"/>
    <w:rsid w:val="00106950"/>
    <w:rsid w:val="00125531"/>
    <w:rsid w:val="0013387A"/>
    <w:rsid w:val="001401C4"/>
    <w:rsid w:val="00163BDD"/>
    <w:rsid w:val="00187899"/>
    <w:rsid w:val="00192F3B"/>
    <w:rsid w:val="00197907"/>
    <w:rsid w:val="001A11FD"/>
    <w:rsid w:val="001C37D3"/>
    <w:rsid w:val="001C5184"/>
    <w:rsid w:val="00214B07"/>
    <w:rsid w:val="00271240"/>
    <w:rsid w:val="002815FF"/>
    <w:rsid w:val="002B43D6"/>
    <w:rsid w:val="002B67E4"/>
    <w:rsid w:val="002F355E"/>
    <w:rsid w:val="003064F6"/>
    <w:rsid w:val="00306996"/>
    <w:rsid w:val="003100E7"/>
    <w:rsid w:val="00327D63"/>
    <w:rsid w:val="003403D9"/>
    <w:rsid w:val="00350F14"/>
    <w:rsid w:val="00352FC9"/>
    <w:rsid w:val="00354FB1"/>
    <w:rsid w:val="00356788"/>
    <w:rsid w:val="00397C02"/>
    <w:rsid w:val="003B77E1"/>
    <w:rsid w:val="003C4BD0"/>
    <w:rsid w:val="004012CB"/>
    <w:rsid w:val="00406145"/>
    <w:rsid w:val="00410564"/>
    <w:rsid w:val="004269C8"/>
    <w:rsid w:val="00430E92"/>
    <w:rsid w:val="00446EA3"/>
    <w:rsid w:val="0045043E"/>
    <w:rsid w:val="00462723"/>
    <w:rsid w:val="00470FE6"/>
    <w:rsid w:val="00524DC1"/>
    <w:rsid w:val="005366B6"/>
    <w:rsid w:val="0054032F"/>
    <w:rsid w:val="005631C3"/>
    <w:rsid w:val="005771B4"/>
    <w:rsid w:val="0057746D"/>
    <w:rsid w:val="0058007E"/>
    <w:rsid w:val="00583ED6"/>
    <w:rsid w:val="00592C8E"/>
    <w:rsid w:val="00594F2C"/>
    <w:rsid w:val="005B34EE"/>
    <w:rsid w:val="005D2678"/>
    <w:rsid w:val="005E0379"/>
    <w:rsid w:val="005E3B64"/>
    <w:rsid w:val="00616543"/>
    <w:rsid w:val="006504F9"/>
    <w:rsid w:val="00663103"/>
    <w:rsid w:val="00684C37"/>
    <w:rsid w:val="006949BE"/>
    <w:rsid w:val="006A63CD"/>
    <w:rsid w:val="006B1985"/>
    <w:rsid w:val="006B4254"/>
    <w:rsid w:val="006D248E"/>
    <w:rsid w:val="006D3802"/>
    <w:rsid w:val="006F7FDC"/>
    <w:rsid w:val="007014B0"/>
    <w:rsid w:val="00702261"/>
    <w:rsid w:val="0070262C"/>
    <w:rsid w:val="00733776"/>
    <w:rsid w:val="00744592"/>
    <w:rsid w:val="00760F72"/>
    <w:rsid w:val="00762115"/>
    <w:rsid w:val="0076629A"/>
    <w:rsid w:val="0077584C"/>
    <w:rsid w:val="00785083"/>
    <w:rsid w:val="0079793C"/>
    <w:rsid w:val="007A6883"/>
    <w:rsid w:val="007C24CB"/>
    <w:rsid w:val="007F5282"/>
    <w:rsid w:val="00811E95"/>
    <w:rsid w:val="00823A4F"/>
    <w:rsid w:val="00853CDA"/>
    <w:rsid w:val="008600B4"/>
    <w:rsid w:val="00867FB7"/>
    <w:rsid w:val="008826E3"/>
    <w:rsid w:val="008918ED"/>
    <w:rsid w:val="008948EB"/>
    <w:rsid w:val="008B29C7"/>
    <w:rsid w:val="008B3B76"/>
    <w:rsid w:val="008B3FEA"/>
    <w:rsid w:val="008C1BDD"/>
    <w:rsid w:val="008C46B2"/>
    <w:rsid w:val="008C70B3"/>
    <w:rsid w:val="008D3E45"/>
    <w:rsid w:val="008D6502"/>
    <w:rsid w:val="008E47D3"/>
    <w:rsid w:val="008F75D5"/>
    <w:rsid w:val="00934010"/>
    <w:rsid w:val="00937D0F"/>
    <w:rsid w:val="00947705"/>
    <w:rsid w:val="0095176B"/>
    <w:rsid w:val="009861D1"/>
    <w:rsid w:val="00987D94"/>
    <w:rsid w:val="0099321D"/>
    <w:rsid w:val="00995922"/>
    <w:rsid w:val="009A53C2"/>
    <w:rsid w:val="009A5770"/>
    <w:rsid w:val="009C12F5"/>
    <w:rsid w:val="00A04F22"/>
    <w:rsid w:val="00A07653"/>
    <w:rsid w:val="00A11CB2"/>
    <w:rsid w:val="00A30038"/>
    <w:rsid w:val="00A34855"/>
    <w:rsid w:val="00A534A9"/>
    <w:rsid w:val="00A75946"/>
    <w:rsid w:val="00A86029"/>
    <w:rsid w:val="00AB0036"/>
    <w:rsid w:val="00AC78ED"/>
    <w:rsid w:val="00AF7EC7"/>
    <w:rsid w:val="00B13CB2"/>
    <w:rsid w:val="00B15F5D"/>
    <w:rsid w:val="00B2591D"/>
    <w:rsid w:val="00B4793C"/>
    <w:rsid w:val="00B6525A"/>
    <w:rsid w:val="00B74D66"/>
    <w:rsid w:val="00BA1A80"/>
    <w:rsid w:val="00BB3E15"/>
    <w:rsid w:val="00BD0774"/>
    <w:rsid w:val="00BF396C"/>
    <w:rsid w:val="00C07F4A"/>
    <w:rsid w:val="00C403B3"/>
    <w:rsid w:val="00C62F7A"/>
    <w:rsid w:val="00C63DE5"/>
    <w:rsid w:val="00C7249F"/>
    <w:rsid w:val="00C72B92"/>
    <w:rsid w:val="00C74A37"/>
    <w:rsid w:val="00C90C09"/>
    <w:rsid w:val="00CA4903"/>
    <w:rsid w:val="00CA6E86"/>
    <w:rsid w:val="00CD0C8C"/>
    <w:rsid w:val="00CF2439"/>
    <w:rsid w:val="00CF52EC"/>
    <w:rsid w:val="00D00D2C"/>
    <w:rsid w:val="00D13113"/>
    <w:rsid w:val="00D15A4A"/>
    <w:rsid w:val="00D44F39"/>
    <w:rsid w:val="00D7480E"/>
    <w:rsid w:val="00D84362"/>
    <w:rsid w:val="00DA330B"/>
    <w:rsid w:val="00DD11BF"/>
    <w:rsid w:val="00DF241F"/>
    <w:rsid w:val="00DF70FE"/>
    <w:rsid w:val="00E20C2D"/>
    <w:rsid w:val="00E34855"/>
    <w:rsid w:val="00E54F99"/>
    <w:rsid w:val="00E55C56"/>
    <w:rsid w:val="00E61FB4"/>
    <w:rsid w:val="00E64020"/>
    <w:rsid w:val="00EA087A"/>
    <w:rsid w:val="00EA2739"/>
    <w:rsid w:val="00EC1DAF"/>
    <w:rsid w:val="00ED3095"/>
    <w:rsid w:val="00ED4A02"/>
    <w:rsid w:val="00EE3874"/>
    <w:rsid w:val="00EE43AD"/>
    <w:rsid w:val="00F037F3"/>
    <w:rsid w:val="00F37F5F"/>
    <w:rsid w:val="00F51B35"/>
    <w:rsid w:val="00F70145"/>
    <w:rsid w:val="00F74D8D"/>
    <w:rsid w:val="00F8740C"/>
    <w:rsid w:val="00FC4C61"/>
    <w:rsid w:val="00FE08A4"/>
    <w:rsid w:val="00FE30F8"/>
    <w:rsid w:val="00FF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11ED"/>
  <w15:chartTrackingRefBased/>
  <w15:docId w15:val="{F2522B8E-0422-D64C-95AA-65EA8044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2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765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5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65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2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387A"/>
    <w:pPr>
      <w:ind w:left="720"/>
      <w:contextualSpacing/>
    </w:pPr>
  </w:style>
  <w:style w:type="character" w:customStyle="1" w:styleId="3oh-">
    <w:name w:val="_3oh-"/>
    <w:basedOn w:val="DefaultParagraphFont"/>
    <w:rsid w:val="00A07653"/>
  </w:style>
  <w:style w:type="character" w:customStyle="1" w:styleId="Heading3Char">
    <w:name w:val="Heading 3 Char"/>
    <w:basedOn w:val="DefaultParagraphFont"/>
    <w:link w:val="Heading3"/>
    <w:uiPriority w:val="9"/>
    <w:rsid w:val="00A0765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6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905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404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2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26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9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74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1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052645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0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29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5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8563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8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5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3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1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3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01896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136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200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8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8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1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55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212079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David</dc:creator>
  <cp:keywords/>
  <dc:description/>
  <cp:lastModifiedBy>Huang, David</cp:lastModifiedBy>
  <cp:revision>169</cp:revision>
  <dcterms:created xsi:type="dcterms:W3CDTF">2019-10-10T23:46:00Z</dcterms:created>
  <dcterms:modified xsi:type="dcterms:W3CDTF">2019-10-11T02:46:00Z</dcterms:modified>
</cp:coreProperties>
</file>