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2"/>
      </w:pPr>
      <w:r>
        <w:rPr>
          <w:rFonts w:ascii="Arial" w:cs="Arial" w:eastAsia="Arial" w:hAnsi="Arial"/>
        </w:rPr>
        <w:t xml:space="preserve">13.13 Schema Registry + Avro — gobierno de eventos</w:t>
      </w:r>
    </w:p>
    <w:p>
      <w:pPr>
        <w:spacing w:after="120" w:line="276"/>
      </w:pPr>
      <w:r>
        <w:rPr>
          <w:rFonts w:ascii="Arial" w:cs="Arial" w:eastAsia="Arial" w:hAnsi="Arial"/>
          <w:b/>
          <w:bCs/>
        </w:rPr>
        <w:t xml:space="preserve">Qué es: </w:t>
      </w:r>
      <w:r>
        <w:rPr>
          <w:rFonts w:ascii="Arial" w:cs="Arial" w:eastAsia="Arial" w:hAnsi="Arial"/>
        </w:rPr>
        <w:t xml:space="preserve">hoy los eventos Kafka viajan como JSON libre, sin contrato formal: un cambio en el productor puede romper a los consumidores en silencio. Un Schema Registry da a cada evento un esquema versionado (Avro) que se registra y valida, y rechaza los cambios incompatibles. Es gobierno de datos de eventos, muy presente en banca.</w:t>
      </w:r>
    </w:p>
    <w:p>
      <w:pPr>
        <w:spacing w:after="120" w:line="276"/>
      </w:pPr>
      <w:r>
        <w:rPr>
          <w:rFonts w:ascii="Arial" w:cs="Arial" w:eastAsia="Arial" w:hAnsi="Arial"/>
          <w:b/>
          <w:bCs/>
        </w:rPr>
        <w:t xml:space="preserve">Cómo se integra: </w:t>
      </w:r>
      <w:r>
        <w:rPr>
          <w:rFonts w:ascii="Arial" w:cs="Arial" w:eastAsia="Arial" w:hAnsi="Arial"/>
        </w:rPr>
        <w:t xml:space="preserve">un Apicurio Registry (open source) en Docker Compose guarda los esquemas. Se define el esquema Avro de </w:t>
      </w:r>
      <w:r>
        <w:rPr>
          <w:rFonts w:ascii="Consolas" w:cs="Consolas" w:eastAsia="Consolas" w:hAnsi="Consolas"/>
          <w:color w:val="4F46E5"/>
        </w:rPr>
        <w:t xml:space="preserve">cart.checked-out</w:t>
      </w:r>
      <w:r>
        <w:rPr>
          <w:rFonts w:ascii="Arial" w:cs="Arial" w:eastAsia="Arial" w:hAnsi="Arial"/>
        </w:rPr>
        <w:t xml:space="preserve"> (importes como decimal, opcionales como uniones null, records anidados y array de ítems) y se fija una regla de compatibilidad </w:t>
      </w:r>
      <w:r>
        <w:rPr>
          <w:rFonts w:ascii="Arial" w:cs="Arial" w:eastAsia="Arial" w:hAnsi="Arial"/>
          <w:b/>
          <w:bCs/>
        </w:rPr>
        <w:t xml:space="preserve">BACKWARD</w:t>
      </w:r>
      <w:r>
        <w:rPr>
          <w:rFonts w:ascii="Arial" w:cs="Arial" w:eastAsia="Arial" w:hAnsi="Arial"/>
        </w:rPr>
        <w:t xml:space="preserve">. Avro es binario (más compacto y rápido que JSON) y de tipado fuerte. La adopción en la serialización de Kafka queda como paso acotado, documentado en SCHEMA-REGISTRY.md.</w:t>
      </w:r>
    </w:p>
    <w:p>
      <w:pPr>
        <w:pStyle w:val="Heading2"/>
      </w:pPr>
      <w:r>
        <w:rPr>
          <w:rFonts w:ascii="Arial" w:cs="Arial" w:eastAsia="Arial" w:hAnsi="Arial"/>
        </w:rPr>
        <w:t xml:space="preserve">13.14 Virtual Threads (Java 21 / Project Loom)</w:t>
      </w:r>
    </w:p>
    <w:p>
      <w:pPr>
        <w:spacing w:after="120" w:line="276"/>
      </w:pPr>
      <w:r>
        <w:rPr>
          <w:rFonts w:ascii="Arial" w:cs="Arial" w:eastAsia="Arial" w:hAnsi="Arial"/>
          <w:b/>
          <w:bCs/>
        </w:rPr>
        <w:t xml:space="preserve">Qué es: </w:t>
      </w:r>
      <w:r>
        <w:rPr>
          <w:rFonts w:ascii="Arial" w:cs="Arial" w:eastAsia="Arial" w:hAnsi="Arial"/>
        </w:rPr>
        <w:t xml:space="preserve">hilos ligeros gestionados por la JVM. Permiten atender miles de peticiones concurrentes con muy pocos recursos, sin reescribir el código a un modelo reactivo.</w:t>
      </w:r>
    </w:p>
    <w:p>
      <w:pPr>
        <w:spacing w:after="120" w:line="276"/>
      </w:pPr>
      <w:r>
        <w:rPr>
          <w:rFonts w:ascii="Arial" w:cs="Arial" w:eastAsia="Arial" w:hAnsi="Arial"/>
          <w:b/>
          <w:bCs/>
        </w:rPr>
        <w:t xml:space="preserve">Cómo se integra: </w:t>
      </w:r>
      <w:r>
        <w:rPr>
          <w:rFonts w:ascii="Arial" w:cs="Arial" w:eastAsia="Arial" w:hAnsi="Arial"/>
        </w:rPr>
        <w:t xml:space="preserve">activados en los 8 servicios servlet con </w:t>
      </w:r>
      <w:r>
        <w:rPr>
          <w:rFonts w:ascii="Consolas" w:cs="Consolas" w:eastAsia="Consolas" w:hAnsi="Consolas"/>
          <w:color w:val="4F46E5"/>
        </w:rPr>
        <w:t xml:space="preserve">spring.threads.virtual.enabled: true</w:t>
      </w:r>
      <w:r>
        <w:rPr>
          <w:rFonts w:ascii="Arial" w:cs="Arial" w:eastAsia="Arial" w:hAnsi="Arial"/>
        </w:rPr>
        <w:t xml:space="preserve">. Spring Boot 3.3 ejecuta cada petición en un virtual thread: más throughput bajo carga de I/O con el mismo código bloqueante de siempre. El gateway, al ser reactivo, no lo necesita.</w:t>
      </w:r>
    </w:p>
    <w:p>
      <w:pPr>
        <w:pStyle w:val="Heading2"/>
      </w:pPr>
      <w:r>
        <w:rPr>
          <w:rFonts w:ascii="Arial" w:cs="Arial" w:eastAsia="Arial" w:hAnsi="Arial"/>
        </w:rPr>
        <w:t xml:space="preserve">13.15 Seguridad de la cadena de suministro</w:t>
      </w:r>
    </w:p>
    <w:p>
      <w:pPr>
        <w:spacing w:after="120" w:line="276"/>
      </w:pPr>
      <w:r>
        <w:rPr>
          <w:rFonts w:ascii="Arial" w:cs="Arial" w:eastAsia="Arial" w:hAnsi="Arial"/>
          <w:b/>
          <w:bCs/>
        </w:rPr>
        <w:t xml:space="preserve">Qué es y por qué: </w:t>
      </w:r>
      <w:r>
        <w:rPr>
          <w:rFonts w:ascii="Arial" w:cs="Arial" w:eastAsia="Arial" w:hAnsi="Arial"/>
        </w:rPr>
        <w:t xml:space="preserve">los bancos auditan de qué está hecho el software y exigen detectar vulnerabilidades antes de desplegar. Se incorpora al CI/CD.</w:t>
      </w:r>
    </w:p>
    <w:p>
      <w:pPr>
        <w:pStyle w:val="ListParagraph"/>
        <w:numPr>
          <w:ilvl w:val="0"/>
          <w:numId w:val="2"/>
        </w:numPr>
        <w:spacing w:after="80" w:line="268"/>
      </w:pPr>
      <w:r>
        <w:rPr>
          <w:rFonts w:ascii="Arial" w:cs="Arial" w:eastAsia="Arial" w:hAnsi="Arial"/>
          <w:b/>
          <w:bCs/>
        </w:rPr>
        <w:t xml:space="preserve">SBOM (CycloneDX): </w:t>
      </w:r>
      <w:r>
        <w:rPr>
          <w:rFonts w:ascii="Arial" w:cs="Arial" w:eastAsia="Arial" w:hAnsi="Arial"/>
        </w:rPr>
        <w:t xml:space="preserve">inventario completo de dependencias generado en cada build (trazabilidad ante un CVE).</w:t>
      </w:r>
    </w:p>
    <w:p>
      <w:pPr>
        <w:pStyle w:val="ListParagraph"/>
        <w:numPr>
          <w:ilvl w:val="0"/>
          <w:numId w:val="2"/>
        </w:numPr>
        <w:spacing w:after="80" w:line="268"/>
      </w:pPr>
      <w:r>
        <w:rPr>
          <w:rFonts w:ascii="Arial" w:cs="Arial" w:eastAsia="Arial" w:hAnsi="Arial"/>
          <w:b/>
          <w:bCs/>
        </w:rPr>
        <w:t xml:space="preserve">Trivy: </w:t>
      </w:r>
      <w:r>
        <w:rPr>
          <w:rFonts w:ascii="Arial" w:cs="Arial" w:eastAsia="Arial" w:hAnsi="Arial"/>
        </w:rPr>
        <w:t xml:space="preserve">escaneo de vulnerabilidades, secretos y misconfiguraciones; los hallazgos van a la pestaña Security de GitHub.</w:t>
      </w:r>
    </w:p>
    <w:p>
      <w:pPr>
        <w:pStyle w:val="ListParagraph"/>
        <w:numPr>
          <w:ilvl w:val="0"/>
          <w:numId w:val="2"/>
        </w:numPr>
        <w:spacing w:after="80" w:line="268"/>
      </w:pPr>
      <w:r>
        <w:rPr>
          <w:rFonts w:ascii="Arial" w:cs="Arial" w:eastAsia="Arial" w:hAnsi="Arial"/>
          <w:b/>
          <w:bCs/>
        </w:rPr>
        <w:t xml:space="preserve">OWASP Dependency-Check: </w:t>
      </w:r>
      <w:r>
        <w:rPr>
          <w:rFonts w:ascii="Arial" w:cs="Arial" w:eastAsia="Arial" w:hAnsi="Arial"/>
        </w:rPr>
        <w:t xml:space="preserve">análisis de dependencias contra la base de CVEs.</w:t>
      </w:r>
    </w:p>
    <w:p>
      <w:pPr>
        <w:pStyle w:val="ListParagraph"/>
        <w:numPr>
          <w:ilvl w:val="0"/>
          <w:numId w:val="2"/>
        </w:numPr>
        <w:spacing w:after="80" w:line="268"/>
      </w:pPr>
      <w:r>
        <w:rPr>
          <w:rFonts w:ascii="Arial" w:cs="Arial" w:eastAsia="Arial" w:hAnsi="Arial"/>
          <w:b/>
          <w:bCs/>
        </w:rPr>
        <w:t xml:space="preserve">Cosign / Sigstore: </w:t>
      </w:r>
      <w:r>
        <w:rPr>
          <w:rFonts w:ascii="Arial" w:cs="Arial" w:eastAsia="Arial" w:hAnsi="Arial"/>
        </w:rPr>
        <w:t xml:space="preserve">firma keyless de cada imagen publicada en GHCR (anti-tampering).</w:t>
      </w:r>
    </w:p>
    <w:p>
      <w:pPr>
        <w:pStyle w:val="ListParagraph"/>
        <w:numPr>
          <w:ilvl w:val="0"/>
          <w:numId w:val="2"/>
        </w:numPr>
        <w:spacing w:after="80" w:line="268"/>
      </w:pPr>
      <w:r>
        <w:rPr>
          <w:rFonts w:ascii="Arial" w:cs="Arial" w:eastAsia="Arial" w:hAnsi="Arial"/>
          <w:b/>
          <w:bCs/>
        </w:rPr>
        <w:t xml:space="preserve">Dependabot: </w:t>
      </w:r>
      <w:r>
        <w:rPr>
          <w:rFonts w:ascii="Arial" w:cs="Arial" w:eastAsia="Arial" w:hAnsi="Arial"/>
        </w:rPr>
        <w:t xml:space="preserve">PRs automáticas de actualización de dependencias.</w:t>
      </w:r>
    </w:p>
    <w:p>
      <w:pPr>
        <w:spacing w:after="120" w:line="276"/>
      </w:pPr>
      <w:r>
        <w:rPr>
          <w:rFonts w:ascii="Arial" w:cs="Arial" w:eastAsia="Arial" w:hAnsi="Arial"/>
        </w:rPr>
        <w:t xml:space="preserve">Junto con SonarCloud (código) y Vault (secretos), cubre las tres capas: código, dependencias e imágenes. Detalle en SECURITY.md.</w:t>
      </w:r>
    </w:p>
    <w:p>
      <w:pPr>
        <w:pStyle w:val="Heading2"/>
      </w:pPr>
      <w:r>
        <w:rPr>
          <w:rFonts w:ascii="Arial" w:cs="Arial" w:eastAsia="Arial" w:hAnsi="Arial"/>
        </w:rPr>
        <w:t xml:space="preserve">13.16 Logs centralizados (Loki) y OpenTelemetry</w:t>
      </w:r>
    </w:p>
    <w:p>
      <w:pPr>
        <w:spacing w:after="120" w:line="276"/>
      </w:pPr>
      <w:r>
        <w:rPr>
          <w:rFonts w:ascii="Arial" w:cs="Arial" w:eastAsia="Arial" w:hAnsi="Arial"/>
          <w:b/>
          <w:bCs/>
        </w:rPr>
        <w:t xml:space="preserve">Qué es: </w:t>
      </w:r>
      <w:r>
        <w:rPr>
          <w:rFonts w:ascii="Arial" w:cs="Arial" w:eastAsia="Arial" w:hAnsi="Arial"/>
        </w:rPr>
        <w:t xml:space="preserve">la tercera pata de la observabilidad. A las métricas (Prometheus) y las trazas (Zipkin) se suma la agregación de logs.</w:t>
      </w:r>
    </w:p>
    <w:p>
      <w:pPr>
        <w:spacing w:after="120" w:line="276"/>
      </w:pPr>
      <w:r>
        <w:rPr>
          <w:rFonts w:ascii="Arial" w:cs="Arial" w:eastAsia="Arial" w:hAnsi="Arial"/>
          <w:b/>
          <w:bCs/>
        </w:rPr>
        <w:t xml:space="preserve">Cómo se integra: </w:t>
      </w:r>
      <w:r>
        <w:rPr>
          <w:rFonts w:ascii="Arial" w:cs="Arial" w:eastAsia="Arial" w:hAnsi="Arial"/>
        </w:rPr>
        <w:t xml:space="preserve">Promtail recoge los logs de todos los contenedores y los envía a </w:t>
      </w:r>
      <w:r>
        <w:rPr>
          <w:rFonts w:ascii="Arial" w:cs="Arial" w:eastAsia="Arial" w:hAnsi="Arial"/>
          <w:b/>
          <w:bCs/>
        </w:rPr>
        <w:t xml:space="preserve">Grafana Loki</w:t>
      </w:r>
      <w:r>
        <w:rPr>
          <w:rFonts w:ascii="Arial" w:cs="Arial" w:eastAsia="Arial" w:hAnsi="Arial"/>
        </w:rPr>
        <w:t xml:space="preserve">, ya conectado como datasource en Grafana, donde se correlacionan por </w:t>
      </w:r>
      <w:r>
        <w:rPr>
          <w:rFonts w:ascii="Consolas" w:cs="Consolas" w:eastAsia="Consolas" w:hAnsi="Consolas"/>
          <w:color w:val="4F46E5"/>
        </w:rPr>
        <w:t xml:space="preserve">traceId</w:t>
      </w:r>
      <w:r>
        <w:rPr>
          <w:rFonts w:ascii="Arial" w:cs="Arial" w:eastAsia="Arial" w:hAnsi="Arial"/>
        </w:rPr>
        <w:t xml:space="preserve">. Además, un </w:t>
      </w:r>
      <w:r>
        <w:rPr>
          <w:rFonts w:ascii="Arial" w:cs="Arial" w:eastAsia="Arial" w:hAnsi="Arial"/>
          <w:b/>
          <w:bCs/>
        </w:rPr>
        <w:t xml:space="preserve">OpenTelemetry Collector</w:t>
      </w:r>
      <w:r>
        <w:rPr>
          <w:rFonts w:ascii="Arial" w:cs="Arial" w:eastAsia="Arial" w:hAnsi="Arial"/>
        </w:rPr>
        <w:t xml:space="preserve"> actúa como punto central neutral de telemetría (OTLP → Zipkin/Prometheus), preparando la migración al estándar OTel.</w:t>
      </w:r>
    </w:p>
    <w:p>
      <w:pPr>
        <w:pStyle w:val="Heading2"/>
      </w:pPr>
      <w:r>
        <w:rPr>
          <w:rFonts w:ascii="Arial" w:cs="Arial" w:eastAsia="Arial" w:hAnsi="Arial"/>
        </w:rPr>
        <w:t xml:space="preserve">13.17 ShedLock — bloqueo distribuido de tareas</w:t>
      </w:r>
    </w:p>
    <w:p>
      <w:pPr>
        <w:spacing w:after="120" w:line="276"/>
      </w:pPr>
      <w:r>
        <w:rPr>
          <w:rFonts w:ascii="Arial" w:cs="Arial" w:eastAsia="Arial" w:hAnsi="Arial"/>
          <w:b/>
          <w:bCs/>
        </w:rPr>
        <w:t xml:space="preserve">Qué es: </w:t>
      </w:r>
      <w:r>
        <w:rPr>
          <w:rFonts w:ascii="Arial" w:cs="Arial" w:eastAsia="Arial" w:hAnsi="Arial"/>
        </w:rPr>
        <w:t xml:space="preserve">cuando un servicio corre con varias réplicas, sus tareas </w:t>
      </w:r>
      <w:r>
        <w:rPr>
          <w:rFonts w:ascii="Consolas" w:cs="Consolas" w:eastAsia="Consolas" w:hAnsi="Consolas"/>
          <w:color w:val="4F46E5"/>
        </w:rPr>
        <w:t xml:space="preserve">@Scheduled</w:t>
      </w:r>
      <w:r>
        <w:rPr>
          <w:rFonts w:ascii="Arial" w:cs="Arial" w:eastAsia="Arial" w:hAnsi="Arial"/>
        </w:rPr>
        <w:t xml:space="preserve"> se ejecutarían en todas a la vez. ShedLock usa un cerrojo compartido (una tabla en la BD) para que cada ejecución la haga una sola instancia.</w:t>
      </w:r>
    </w:p>
    <w:p>
      <w:pPr>
        <w:spacing w:after="120" w:line="276"/>
      </w:pPr>
      <w:r>
        <w:rPr>
          <w:rFonts w:ascii="Arial" w:cs="Arial" w:eastAsia="Arial" w:hAnsi="Arial"/>
          <w:b/>
          <w:bCs/>
        </w:rPr>
        <w:t xml:space="preserve">Cómo se integra: </w:t>
      </w:r>
      <w:r>
        <w:rPr>
          <w:rFonts w:ascii="Arial" w:cs="Arial" w:eastAsia="Arial" w:hAnsi="Arial"/>
        </w:rPr>
        <w:t xml:space="preserve">en order-service, el outbox relay va anotado con </w:t>
      </w:r>
      <w:r>
        <w:rPr>
          <w:rFonts w:ascii="Consolas" w:cs="Consolas" w:eastAsia="Consolas" w:hAnsi="Consolas"/>
          <w:color w:val="4F46E5"/>
        </w:rPr>
        <w:t xml:space="preserve">@SchedulerLock</w:t>
      </w:r>
      <w:r>
        <w:rPr>
          <w:rFonts w:ascii="Arial" w:cs="Arial" w:eastAsia="Arial" w:hAnsi="Arial"/>
        </w:rPr>
        <w:t xml:space="preserve">; el cerrojo vive en la tabla </w:t>
      </w:r>
      <w:r>
        <w:rPr>
          <w:rFonts w:ascii="Consolas" w:cs="Consolas" w:eastAsia="Consolas" w:hAnsi="Consolas"/>
          <w:color w:val="4F46E5"/>
        </w:rPr>
        <w:t xml:space="preserve">shedlock</w:t>
      </w:r>
      <w:r>
        <w:rPr>
          <w:rFonts w:ascii="Arial" w:cs="Arial" w:eastAsia="Arial" w:hAnsi="Arial"/>
        </w:rPr>
        <w:t xml:space="preserve">. Es la corrección clave para escalar order horizontalmente sin duplicar la publicación de eventos.</w:t>
      </w:r>
    </w:p>
    <w:p>
      <w:pPr>
        <w:pStyle w:val="Heading2"/>
      </w:pPr>
      <w:r>
        <w:rPr>
          <w:rFonts w:ascii="Arial" w:cs="Arial" w:eastAsia="Arial" w:hAnsi="Arial"/>
        </w:rPr>
        <w:t xml:space="preserve">13.18 Dead Letter Queue (DLQ) en Kafka</w:t>
      </w:r>
    </w:p>
    <w:p>
      <w:pPr>
        <w:spacing w:after="120" w:line="276"/>
      </w:pPr>
      <w:r>
        <w:rPr>
          <w:rFonts w:ascii="Arial" w:cs="Arial" w:eastAsia="Arial" w:hAnsi="Arial"/>
          <w:b/>
          <w:bCs/>
        </w:rPr>
        <w:t xml:space="preserve">Qué es: </w:t>
      </w:r>
      <w:r>
        <w:rPr>
          <w:rFonts w:ascii="Arial" w:cs="Arial" w:eastAsia="Arial" w:hAnsi="Arial"/>
        </w:rPr>
        <w:t xml:space="preserve">si un consumidor recibe un “mensaje veneno” que siempre falla, reintentarlo en bucle bloquea la partición y detiene todo. La DLQ reintenta un número acotado de veces y, si sigue fallando, aparta el mensaje a un topic de cartas muertas, sin bloquear la cola ni perder el evento.</w:t>
      </w:r>
    </w:p>
    <w:p>
      <w:pPr>
        <w:spacing w:after="120" w:line="276"/>
      </w:pPr>
      <w:r>
        <w:rPr>
          <w:rFonts w:ascii="Arial" w:cs="Arial" w:eastAsia="Arial" w:hAnsi="Arial"/>
          <w:b/>
          <w:bCs/>
        </w:rPr>
        <w:t xml:space="preserve">Cómo se integra: </w:t>
      </w:r>
      <w:r>
        <w:rPr>
          <w:rFonts w:ascii="Arial" w:cs="Arial" w:eastAsia="Arial" w:hAnsi="Arial"/>
        </w:rPr>
        <w:t xml:space="preserve">en los 5 servicios con consumidores (order, catalog, inventory, payment, notification) el KafkaConfig define un </w:t>
      </w:r>
      <w:r>
        <w:rPr>
          <w:rFonts w:ascii="Consolas" w:cs="Consolas" w:eastAsia="Consolas" w:hAnsi="Consolas"/>
          <w:color w:val="4F46E5"/>
        </w:rPr>
        <w:t xml:space="preserve">DefaultErrorHandler</w:t>
      </w:r>
      <w:r>
        <w:rPr>
          <w:rFonts w:ascii="Arial" w:cs="Arial" w:eastAsia="Arial" w:hAnsi="Arial"/>
        </w:rPr>
        <w:t xml:space="preserve"> con </w:t>
      </w:r>
      <w:r>
        <w:rPr>
          <w:rFonts w:ascii="Consolas" w:cs="Consolas" w:eastAsia="Consolas" w:hAnsi="Consolas"/>
          <w:color w:val="4F46E5"/>
        </w:rPr>
        <w:t xml:space="preserve">DeadLetterPublishingRecoverer</w:t>
      </w:r>
      <w:r>
        <w:rPr>
          <w:rFonts w:ascii="Arial" w:cs="Arial" w:eastAsia="Arial" w:hAnsi="Arial"/>
        </w:rPr>
        <w:t xml:space="preserve">: 3 reintentos y, si fallan, el mensaje va a </w:t>
      </w:r>
      <w:r>
        <w:rPr>
          <w:rFonts w:ascii="Consolas" w:cs="Consolas" w:eastAsia="Consolas" w:hAnsi="Consolas"/>
          <w:color w:val="4F46E5"/>
        </w:rPr>
        <w:t xml:space="preserve">&lt;topic&gt;.DLT</w:t>
      </w:r>
      <w:r>
        <w:rPr>
          <w:rFonts w:ascii="Arial" w:cs="Arial" w:eastAsia="Arial" w:hAnsi="Arial"/>
        </w:rPr>
        <w:t xml:space="preserve">. Se aplica a todos los consumidores del servicio a la vez. Junto con el IdempotencyGuard y el outbox transaccional, completa la mensajería fiable. Detalle en RESILIENCE-DLQ.md.</w:t>
      </w:r>
    </w:p>
    <w:p>
      <w:pPr>
        <w:pStyle w:val="Heading2"/>
      </w:pPr>
      <w:r>
        <w:rPr>
          <w:rFonts w:ascii="Arial" w:cs="Arial" w:eastAsia="Arial" w:hAnsi="Arial"/>
        </w:rPr>
        <w:t xml:space="preserve">13.19 Bloqueo optimista (Optimistic Locking)</w:t>
      </w:r>
    </w:p>
    <w:p>
      <w:pPr>
        <w:spacing w:after="120" w:line="276"/>
      </w:pPr>
      <w:r>
        <w:rPr>
          <w:rFonts w:ascii="Arial" w:cs="Arial" w:eastAsia="Arial" w:hAnsi="Arial"/>
          <w:b/>
          <w:bCs/>
        </w:rPr>
        <w:t xml:space="preserve">Qué es: </w:t>
      </w:r>
      <w:r>
        <w:rPr>
          <w:rFonts w:ascii="Arial" w:cs="Arial" w:eastAsia="Arial" w:hAnsi="Arial"/>
        </w:rPr>
        <w:t xml:space="preserve">bajo concurrencia, dos procesos pueden leer la misma fila, modificarla y guardarla casi a la vez; sin control, la segunda escritura pisa a la primera (lost update) — vender stock inexistente o cobrar dos veces. Cada entidad lleva una columna </w:t>
      </w:r>
      <w:r>
        <w:rPr>
          <w:rFonts w:ascii="Consolas" w:cs="Consolas" w:eastAsia="Consolas" w:hAnsi="Consolas"/>
          <w:color w:val="4F46E5"/>
        </w:rPr>
        <w:t xml:space="preserve">version</w:t>
      </w:r>
      <w:r>
        <w:rPr>
          <w:rFonts w:ascii="Arial" w:cs="Arial" w:eastAsia="Arial" w:hAnsi="Arial"/>
        </w:rPr>
        <w:t xml:space="preserve"> que Hibernate incluye en el UPDATE: si otro proceso la cambió entre la lectura y la escritura, el update afecta 0 filas y se lanza OptimisticLockException, rechazando la operación de forma controlada en vez de corromper datos.</w:t>
      </w:r>
    </w:p>
    <w:p>
      <w:pPr>
        <w:spacing w:after="120" w:line="276"/>
      </w:pPr>
      <w:r>
        <w:rPr>
          <w:rFonts w:ascii="Arial" w:cs="Arial" w:eastAsia="Arial" w:hAnsi="Arial"/>
          <w:b/>
          <w:bCs/>
        </w:rPr>
        <w:t xml:space="preserve">Cómo se integra: </w:t>
      </w:r>
      <w:r>
        <w:rPr>
          <w:rFonts w:ascii="Arial" w:cs="Arial" w:eastAsia="Arial" w:hAnsi="Arial"/>
        </w:rPr>
        <w:t xml:space="preserve">se aplica con </w:t>
      </w:r>
      <w:r>
        <w:rPr>
          <w:rFonts w:ascii="Consolas" w:cs="Consolas" w:eastAsia="Consolas" w:hAnsi="Consolas"/>
          <w:color w:val="4F46E5"/>
        </w:rPr>
        <w:t xml:space="preserve">@Version</w:t>
      </w:r>
      <w:r>
        <w:rPr>
          <w:rFonts w:ascii="Arial" w:cs="Arial" w:eastAsia="Arial" w:hAnsi="Arial"/>
        </w:rPr>
        <w:t xml:space="preserve"> a los agregados donde la concurrencia importa — Stock (evita overselling), Payment (evita cobros pisados) y Order (estados). Cada uno con su migración de columna </w:t>
      </w:r>
      <w:r>
        <w:rPr>
          <w:rFonts w:ascii="Consolas" w:cs="Consolas" w:eastAsia="Consolas" w:hAnsi="Consolas"/>
          <w:color w:val="4F46E5"/>
        </w:rPr>
        <w:t xml:space="preserve">version</w:t>
      </w:r>
      <w:r>
        <w:rPr>
          <w:rFonts w:ascii="Arial" w:cs="Arial" w:eastAsia="Arial" w:hAnsi="Arial"/>
        </w:rPr>
        <w:t xml:space="preserve"> y la versión hilada por el dominio y el mapper, para que el control funcione con el patrón hexagonal. Detalle en RESILIENCE-OPTIMISTIC-LOCKING.md.</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Schema governance (Schema-on-write)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Apicurio Registry + Avro (cart.checked-out)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Versionar y validar el contrato de los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Dead Letter Queue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KafkaConfig (DefaultErrorHandler) en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mensajes veneno sin bloquear ni perder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Optimistic Locking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 en Stock, Payment y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escrituras concurrentes y evitar lost updates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Bloqueo distribuido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ShedLock (outbox relay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Una sola réplica ejecuta cada tarea programada</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pStyle w:val="ListParagraph"/>
        <w:numPr>
          <w:ilvl w:val="0"/>
          <w:numId w:val="2"/>
        </w:numPr>
        <w:spacing w:after="80" w:line="268"/>
      </w:pPr>
      <w:r>
        <w:rPr>
          <w:rFonts w:ascii="Arial" w:cs="Arial" w:eastAsia="Arial" w:hAnsi="Arial"/>
          <w:b/>
          <w:bCs/>
        </w:rPr>
        <w:t xml:space="preserve">Vault dynamic secrets: </w:t>
      </w:r>
      <w:r>
        <w:rPr>
          <w:rFonts w:ascii="Arial" w:cs="Arial" w:eastAsia="Arial" w:hAnsi="Arial"/>
        </w:rPr>
        <w:t xml:space="preserve">credenciales de base de datos temporales generadas y rotadas automáticamente por Vault.</w:t>
      </w:r>
    </w:p>
    <w:p>
      <w:pPr>
        <w:pStyle w:val="ListParagraph"/>
        <w:numPr>
          <w:ilvl w:val="0"/>
          <w:numId w:val="2"/>
        </w:numPr>
        <w:spacing w:after="80" w:line="268"/>
      </w:pPr>
      <w:r>
        <w:rPr>
          <w:rFonts w:ascii="Arial" w:cs="Arial" w:eastAsia="Arial" w:hAnsi="Arial"/>
          <w:b/>
          <w:bCs/>
        </w:rPr>
        <w:t xml:space="preserve">OWASP ZAP (DAST): </w:t>
      </w:r>
      <w:r>
        <w:rPr>
          <w:rFonts w:ascii="Arial" w:cs="Arial" w:eastAsia="Arial" w:hAnsi="Arial"/>
        </w:rPr>
        <w:t xml:space="preserve">escaneo dinámico de seguridad de la aplicación en ejecución dentro del CI.</w:t>
      </w:r>
    </w:p>
    <w:p>
      <w:pPr>
        <w:pStyle w:val="ListParagraph"/>
        <w:numPr>
          <w:ilvl w:val="0"/>
          <w:numId w:val="2"/>
        </w:numPr>
        <w:spacing w:after="80" w:line="268"/>
      </w:pPr>
      <w:r>
        <w:rPr>
          <w:rFonts w:ascii="Arial" w:cs="Arial" w:eastAsia="Arial" w:hAnsi="Arial"/>
          <w:b/>
          <w:bCs/>
        </w:rPr>
        <w:t xml:space="preserve">gRPC: </w:t>
      </w:r>
      <w:r>
        <w:rPr>
          <w:rFonts w:ascii="Arial" w:cs="Arial" w:eastAsia="Arial" w:hAnsi="Arial"/>
        </w:rPr>
        <w:t xml:space="preserve">comunicación interna servicio-a-servicio contract-first con Protobuf (binaria y de alto rendimiento).</w:t>
      </w:r>
    </w:p>
    <w:p>
      <w:pPr>
        <w:pStyle w:val="ListParagraph"/>
        <w:numPr>
          <w:ilvl w:val="0"/>
          <w:numId w:val="2"/>
        </w:numPr>
        <w:spacing w:after="80" w:line="268"/>
      </w:pPr>
      <w:r>
        <w:rPr>
          <w:rFonts w:ascii="Arial" w:cs="Arial" w:eastAsia="Arial" w:hAnsi="Arial"/>
          <w:b/>
          <w:bCs/>
        </w:rPr>
        <w:t xml:space="preserve">GraphQL (Spring for GraphQL): </w:t>
      </w:r>
      <w:r>
        <w:rPr>
          <w:rFonts w:ascii="Arial" w:cs="Arial" w:eastAsia="Arial" w:hAnsi="Arial"/>
        </w:rPr>
        <w:t xml:space="preserve">una API de agregación para el frontend, como alternativa/complemento al gateway REST.</w:t>
      </w:r>
    </w:p>
    <w:p>
      <w:pPr>
        <w:pStyle w:val="ListParagraph"/>
        <w:numPr>
          <w:ilvl w:val="0"/>
          <w:numId w:val="2"/>
        </w:numPr>
        <w:spacing w:after="80" w:line="268"/>
      </w:pPr>
      <w:r>
        <w:rPr>
          <w:rFonts w:ascii="Arial" w:cs="Arial" w:eastAsia="Arial" w:hAnsi="Arial"/>
          <w:b/>
          <w:bCs/>
        </w:rPr>
        <w:t xml:space="preserve">Event Sourcing completo: </w:t>
      </w:r>
      <w:r>
        <w:rPr>
          <w:rFonts w:ascii="Arial" w:cs="Arial" w:eastAsia="Arial" w:hAnsi="Arial"/>
        </w:rPr>
        <w:t xml:space="preserve">con un event store (Axon / EventStoreDB) en un agregado como el pedido.</w:t>
      </w:r>
    </w:p>
    <w:p>
      <w:pPr>
        <w:pStyle w:val="ListParagraph"/>
        <w:numPr>
          <w:ilvl w:val="0"/>
          <w:numId w:val="2"/>
        </w:numPr>
        <w:spacing w:after="80" w:line="268"/>
      </w:pPr>
      <w:r>
        <w:rPr>
          <w:rFonts w:ascii="Arial" w:cs="Arial" w:eastAsia="Arial" w:hAnsi="Arial"/>
          <w:b/>
          <w:bCs/>
        </w:rPr>
        <w:t xml:space="preserve">Chaos engineering: </w:t>
      </w:r>
      <w:r>
        <w:rPr>
          <w:rFonts w:ascii="Arial" w:cs="Arial" w:eastAsia="Arial" w:hAnsi="Arial"/>
        </w:rPr>
        <w:t xml:space="preserve">Chaos Monkey for Spring Boot para inyectar fallos y validar la resiliencia.</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2026-06-18T20:02:19.215Z</dcterms:created>
  <dcterms:modified xsi:type="dcterms:W3CDTF">2026-06-18T20:02:19.215Z</dcterms:modified>
</cp:coreProperties>
</file>

<file path=docProps/custom.xml><?xml version="1.0" encoding="utf-8"?>
<Properties xmlns="http://schemas.openxmlformats.org/officeDocument/2006/custom-properties" xmlns:vt="http://schemas.openxmlformats.org/officeDocument/2006/docPropsVTypes"/>
</file>