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C7B6A" w14:textId="77777777" w:rsidR="007903E9" w:rsidRDefault="00000000">
      <w:pPr>
        <w:spacing w:after="80"/>
        <w:jc w:val="center"/>
      </w:pPr>
      <w:r>
        <w:rPr>
          <w:rFonts w:ascii="Calibri" w:eastAsia="Calibri" w:hAnsi="Calibri" w:cs="Calibri"/>
          <w:b/>
          <w:bCs/>
          <w:color w:val="2E75B6"/>
          <w:sz w:val="22"/>
          <w:szCs w:val="22"/>
        </w:rPr>
        <w:t>MACHINE LEARNING FOR SUSTAINABLE DEVELOPMENT</w:t>
      </w:r>
    </w:p>
    <w:p w14:paraId="13F75638" w14:textId="77777777" w:rsidR="007903E9" w:rsidRDefault="00000000">
      <w:pPr>
        <w:spacing w:after="200"/>
        <w:jc w:val="center"/>
      </w:pPr>
      <w:r>
        <w:rPr>
          <w:rFonts w:ascii="Calibri" w:eastAsia="Calibri" w:hAnsi="Calibri" w:cs="Calibri"/>
          <w:b/>
          <w:bCs/>
          <w:color w:val="1F3864"/>
          <w:sz w:val="40"/>
          <w:szCs w:val="40"/>
        </w:rPr>
        <w:t>Identifying Poverty-Prone Regions Using Socio-Economic Data</w:t>
      </w:r>
    </w:p>
    <w:p w14:paraId="12B36B7A" w14:textId="77777777" w:rsidR="007903E9" w:rsidRDefault="00000000">
      <w:pPr>
        <w:spacing w:after="60"/>
        <w:jc w:val="center"/>
      </w:pPr>
      <w:r>
        <w:rPr>
          <w:rFonts w:ascii="Calibri" w:eastAsia="Calibri" w:hAnsi="Calibri" w:cs="Calibri"/>
          <w:i/>
          <w:iCs/>
          <w:color w:val="444444"/>
          <w:sz w:val="24"/>
          <w:szCs w:val="24"/>
        </w:rPr>
        <w:t>An Analytical Assignment Report Aligned with SDG 1 – No Poverty</w:t>
      </w:r>
    </w:p>
    <w:p w14:paraId="082EE597" w14:textId="77777777" w:rsidR="007903E9" w:rsidRDefault="00000000">
      <w:pPr>
        <w:spacing w:after="400"/>
        <w:jc w:val="center"/>
      </w:pPr>
      <w:r>
        <w:rPr>
          <w:rFonts w:ascii="Calibri" w:eastAsia="Calibri" w:hAnsi="Calibri" w:cs="Calibri"/>
          <w:color w:val="7F7F7F"/>
        </w:rPr>
        <w:t>Unit I: Learning Problems, Concept Learning &amp; Decision Tree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903E9" w14:paraId="5B17FEC8" w14:textId="77777777">
        <w:tblPrEx>
          <w:tblCellMar>
            <w:top w:w="0" w:type="dxa"/>
            <w:bottom w:w="0" w:type="dxa"/>
          </w:tblCellMar>
        </w:tblPrEx>
        <w:tc>
          <w:tcPr>
            <w:tcW w:w="3120" w:type="dxa"/>
            <w:shd w:val="clear" w:color="auto" w:fill="1F3864"/>
            <w:tcMar>
              <w:top w:w="100" w:type="dxa"/>
              <w:left w:w="120" w:type="dxa"/>
              <w:bottom w:w="100" w:type="dxa"/>
              <w:right w:w="120" w:type="dxa"/>
            </w:tcMar>
            <w:vAlign w:val="center"/>
          </w:tcPr>
          <w:p w14:paraId="0A2A8329" w14:textId="77777777" w:rsidR="007903E9" w:rsidRDefault="00000000">
            <w:r>
              <w:rPr>
                <w:rFonts w:ascii="Calibri" w:eastAsia="Calibri" w:hAnsi="Calibri" w:cs="Calibri"/>
                <w:b/>
                <w:bCs/>
                <w:color w:val="FFFFFF"/>
                <w:sz w:val="21"/>
                <w:szCs w:val="21"/>
              </w:rPr>
              <w:t>Assignment Question</w:t>
            </w:r>
          </w:p>
        </w:tc>
        <w:tc>
          <w:tcPr>
            <w:tcW w:w="6240" w:type="dxa"/>
            <w:tcMar>
              <w:top w:w="100" w:type="dxa"/>
              <w:left w:w="120" w:type="dxa"/>
              <w:bottom w:w="100" w:type="dxa"/>
              <w:right w:w="120" w:type="dxa"/>
            </w:tcMar>
            <w:vAlign w:val="center"/>
          </w:tcPr>
          <w:p w14:paraId="1BF6834E" w14:textId="77777777" w:rsidR="007903E9" w:rsidRDefault="00000000">
            <w:r>
              <w:rPr>
                <w:rFonts w:ascii="Calibri" w:eastAsia="Calibri" w:hAnsi="Calibri" w:cs="Calibri"/>
                <w:color w:val="000000"/>
                <w:sz w:val="21"/>
                <w:szCs w:val="21"/>
              </w:rPr>
              <w:t>Explain how Machine Learning can identify poverty-prone regions using socio-economic data.</w:t>
            </w:r>
          </w:p>
        </w:tc>
      </w:tr>
      <w:tr w:rsidR="007903E9" w14:paraId="164F65C0" w14:textId="77777777">
        <w:tblPrEx>
          <w:tblCellMar>
            <w:top w:w="0" w:type="dxa"/>
            <w:bottom w:w="0" w:type="dxa"/>
          </w:tblCellMar>
        </w:tblPrEx>
        <w:tc>
          <w:tcPr>
            <w:tcW w:w="3120" w:type="dxa"/>
            <w:shd w:val="clear" w:color="auto" w:fill="1F3864"/>
            <w:tcMar>
              <w:top w:w="100" w:type="dxa"/>
              <w:left w:w="120" w:type="dxa"/>
              <w:bottom w:w="100" w:type="dxa"/>
              <w:right w:w="120" w:type="dxa"/>
            </w:tcMar>
            <w:vAlign w:val="center"/>
          </w:tcPr>
          <w:p w14:paraId="461E5911" w14:textId="77777777" w:rsidR="007903E9" w:rsidRDefault="00000000">
            <w:r>
              <w:rPr>
                <w:rFonts w:ascii="Calibri" w:eastAsia="Calibri" w:hAnsi="Calibri" w:cs="Calibri"/>
                <w:b/>
                <w:bCs/>
                <w:color w:val="FFFFFF"/>
                <w:sz w:val="21"/>
                <w:szCs w:val="21"/>
              </w:rPr>
              <w:t>Unit</w:t>
            </w:r>
          </w:p>
        </w:tc>
        <w:tc>
          <w:tcPr>
            <w:tcW w:w="6240" w:type="dxa"/>
            <w:tcMar>
              <w:top w:w="100" w:type="dxa"/>
              <w:left w:w="120" w:type="dxa"/>
              <w:bottom w:w="100" w:type="dxa"/>
              <w:right w:w="120" w:type="dxa"/>
            </w:tcMar>
            <w:vAlign w:val="center"/>
          </w:tcPr>
          <w:p w14:paraId="154BC19D" w14:textId="77777777" w:rsidR="007903E9" w:rsidRDefault="00000000">
            <w:r>
              <w:rPr>
                <w:rFonts w:ascii="Calibri" w:eastAsia="Calibri" w:hAnsi="Calibri" w:cs="Calibri"/>
                <w:color w:val="000000"/>
                <w:sz w:val="21"/>
                <w:szCs w:val="21"/>
              </w:rPr>
              <w:t>Unit I – Learning Problems, Concept Learning, Version Spaces, Inductive Bias, Decision Tree Learning, Heuristic Search</w:t>
            </w:r>
          </w:p>
        </w:tc>
      </w:tr>
      <w:tr w:rsidR="007903E9" w14:paraId="79B4CFC2" w14:textId="77777777">
        <w:tblPrEx>
          <w:tblCellMar>
            <w:top w:w="0" w:type="dxa"/>
            <w:bottom w:w="0" w:type="dxa"/>
          </w:tblCellMar>
        </w:tblPrEx>
        <w:tc>
          <w:tcPr>
            <w:tcW w:w="3120" w:type="dxa"/>
            <w:shd w:val="clear" w:color="auto" w:fill="1F3864"/>
            <w:tcMar>
              <w:top w:w="100" w:type="dxa"/>
              <w:left w:w="120" w:type="dxa"/>
              <w:bottom w:w="100" w:type="dxa"/>
              <w:right w:w="120" w:type="dxa"/>
            </w:tcMar>
            <w:vAlign w:val="center"/>
          </w:tcPr>
          <w:p w14:paraId="7EFF35B0" w14:textId="25FE74B0" w:rsidR="007903E9" w:rsidRPr="00B26FDD" w:rsidRDefault="00125E3A">
            <w:pPr>
              <w:rPr>
                <w:b/>
                <w:bCs/>
              </w:rPr>
            </w:pPr>
            <w:r w:rsidRPr="00B26FDD">
              <w:rPr>
                <w:b/>
                <w:bCs/>
              </w:rPr>
              <w:t xml:space="preserve">Name </w:t>
            </w:r>
            <w:r w:rsidR="00CB3585" w:rsidRPr="00B26FDD">
              <w:rPr>
                <w:b/>
                <w:bCs/>
              </w:rPr>
              <w:t xml:space="preserve">    </w:t>
            </w:r>
          </w:p>
        </w:tc>
        <w:tc>
          <w:tcPr>
            <w:tcW w:w="6240" w:type="dxa"/>
            <w:tcMar>
              <w:top w:w="100" w:type="dxa"/>
              <w:left w:w="120" w:type="dxa"/>
              <w:bottom w:w="100" w:type="dxa"/>
              <w:right w:w="120" w:type="dxa"/>
            </w:tcMar>
            <w:vAlign w:val="center"/>
          </w:tcPr>
          <w:p w14:paraId="1FBB90F5" w14:textId="3DEAFBAF" w:rsidR="007903E9" w:rsidRDefault="00125E3A">
            <w:proofErr w:type="spellStart"/>
            <w:r>
              <w:t>Dhuneshwaran</w:t>
            </w:r>
            <w:proofErr w:type="spellEnd"/>
            <w:r>
              <w:t xml:space="preserve"> V</w:t>
            </w:r>
          </w:p>
        </w:tc>
      </w:tr>
      <w:tr w:rsidR="00125E3A" w14:paraId="436E8C35" w14:textId="77777777">
        <w:tblPrEx>
          <w:tblCellMar>
            <w:top w:w="0" w:type="dxa"/>
            <w:bottom w:w="0" w:type="dxa"/>
          </w:tblCellMar>
        </w:tblPrEx>
        <w:tc>
          <w:tcPr>
            <w:tcW w:w="3120" w:type="dxa"/>
            <w:shd w:val="clear" w:color="auto" w:fill="1F3864"/>
            <w:tcMar>
              <w:top w:w="100" w:type="dxa"/>
              <w:left w:w="120" w:type="dxa"/>
              <w:bottom w:w="100" w:type="dxa"/>
              <w:right w:w="120" w:type="dxa"/>
            </w:tcMar>
            <w:vAlign w:val="center"/>
          </w:tcPr>
          <w:p w14:paraId="78C0A14E" w14:textId="01A4AE26" w:rsidR="00125E3A" w:rsidRPr="00B26FDD" w:rsidRDefault="00CB3585">
            <w:pPr>
              <w:rPr>
                <w:b/>
                <w:bCs/>
              </w:rPr>
            </w:pPr>
            <w:r w:rsidRPr="00B26FDD">
              <w:rPr>
                <w:b/>
                <w:bCs/>
              </w:rPr>
              <w:t>Reg.</w:t>
            </w:r>
            <w:r w:rsidR="00B26FDD">
              <w:rPr>
                <w:b/>
                <w:bCs/>
              </w:rPr>
              <w:t xml:space="preserve"> </w:t>
            </w:r>
            <w:r w:rsidRPr="00B26FDD">
              <w:rPr>
                <w:b/>
                <w:bCs/>
              </w:rPr>
              <w:t xml:space="preserve">no   </w:t>
            </w:r>
          </w:p>
        </w:tc>
        <w:tc>
          <w:tcPr>
            <w:tcW w:w="6240" w:type="dxa"/>
            <w:tcMar>
              <w:top w:w="100" w:type="dxa"/>
              <w:left w:w="120" w:type="dxa"/>
              <w:bottom w:w="100" w:type="dxa"/>
              <w:right w:w="120" w:type="dxa"/>
            </w:tcMar>
            <w:vAlign w:val="center"/>
          </w:tcPr>
          <w:p w14:paraId="10F934E2" w14:textId="51B0502F" w:rsidR="00125E3A" w:rsidRDefault="00125E3A">
            <w:r>
              <w:t>192</w:t>
            </w:r>
            <w:r w:rsidR="00CB3585">
              <w:t>324169</w:t>
            </w:r>
          </w:p>
        </w:tc>
      </w:tr>
    </w:tbl>
    <w:p w14:paraId="28932DA1" w14:textId="77777777" w:rsidR="007903E9" w:rsidRDefault="00000000">
      <w:r>
        <w:br/>
      </w:r>
    </w:p>
    <w:p w14:paraId="314A3F8C" w14:textId="77777777" w:rsidR="007903E9" w:rsidRDefault="00000000">
      <w:pPr>
        <w:pStyle w:val="Heading1"/>
        <w:pBdr>
          <w:bottom w:val="single" w:sz="6" w:space="4" w:color="2E75B6"/>
        </w:pBdr>
        <w:spacing w:before="320" w:after="160"/>
      </w:pPr>
      <w:r>
        <w:rPr>
          <w:rFonts w:ascii="Calibri" w:eastAsia="Calibri" w:hAnsi="Calibri" w:cs="Calibri"/>
          <w:b/>
          <w:bCs/>
          <w:color w:val="1F3864"/>
          <w:sz w:val="28"/>
          <w:szCs w:val="28"/>
        </w:rPr>
        <w:t>1. Problem Statement and Identification of the Relevant SDG</w:t>
      </w:r>
    </w:p>
    <w:p w14:paraId="0874B155" w14:textId="77777777" w:rsidR="007903E9" w:rsidRDefault="00000000">
      <w:pPr>
        <w:spacing w:after="160" w:line="300" w:lineRule="auto"/>
        <w:jc w:val="both"/>
      </w:pPr>
      <w:r>
        <w:rPr>
          <w:rFonts w:ascii="Calibri" w:eastAsia="Calibri" w:hAnsi="Calibri" w:cs="Calibri"/>
          <w:sz w:val="22"/>
          <w:szCs w:val="22"/>
        </w:rPr>
        <w:t>Poverty remains one of the most persistent global challenges, and identifying regions where poverty is concentrated is the first step toward directing government aid, subsidies, and infrastructure investment efficiently. Traditional poverty-mapping methods rely on periodic household surveys and censuses, which are expensive, slow to update, and often fail to capture rapidly changing socio-economic conditions.</w:t>
      </w:r>
    </w:p>
    <w:p w14:paraId="7FC3CAB0" w14:textId="77777777" w:rsidR="007903E9" w:rsidRDefault="00000000">
      <w:pPr>
        <w:spacing w:after="160" w:line="300" w:lineRule="auto"/>
        <w:jc w:val="both"/>
      </w:pPr>
      <w:r>
        <w:rPr>
          <w:rFonts w:ascii="Calibri" w:eastAsia="Calibri" w:hAnsi="Calibri" w:cs="Calibri"/>
          <w:sz w:val="22"/>
          <w:szCs w:val="22"/>
        </w:rPr>
        <w:t>The problem addressed in this assignment is: given socio-economic indicators of a region (such as income level, employment rate, literacy rate, access to electricity, and housing quality), can a Machine Learning model learn to classify or predict whether that region is poverty-prone?</w:t>
      </w:r>
    </w:p>
    <w:p w14:paraId="1543C6B7" w14:textId="77777777" w:rsidR="007903E9" w:rsidRDefault="00000000">
      <w:pPr>
        <w:spacing w:after="160" w:line="300" w:lineRule="auto"/>
        <w:jc w:val="both"/>
      </w:pPr>
      <w:r>
        <w:rPr>
          <w:rFonts w:ascii="Calibri" w:eastAsia="Calibri" w:hAnsi="Calibri" w:cs="Calibri"/>
          <w:sz w:val="22"/>
          <w:szCs w:val="22"/>
        </w:rPr>
        <w:t>This problem is directly aligned with SDG 1 – No Poverty, whose target 1.2 calls for reducing the proportion of people living in poverty by at least half, and target 1.4 calls for ensuring that all people have equal rights to economic resources and access to basic services. Accurate, data-driven identification of poverty-prone regions supports both targets by enabling evidence-based policymaking.</w:t>
      </w:r>
    </w:p>
    <w:p w14:paraId="642B08DC" w14:textId="77777777" w:rsidR="007903E9" w:rsidRDefault="00000000">
      <w:pPr>
        <w:pStyle w:val="Heading1"/>
        <w:pBdr>
          <w:bottom w:val="single" w:sz="6" w:space="4" w:color="2E75B6"/>
        </w:pBdr>
        <w:spacing w:before="320" w:after="160"/>
      </w:pPr>
      <w:r>
        <w:rPr>
          <w:rFonts w:ascii="Calibri" w:eastAsia="Calibri" w:hAnsi="Calibri" w:cs="Calibri"/>
          <w:b/>
          <w:bCs/>
          <w:color w:val="1F3864"/>
          <w:sz w:val="28"/>
          <w:szCs w:val="28"/>
        </w:rPr>
        <w:t>2. Background Study of the Application Domain</w:t>
      </w:r>
    </w:p>
    <w:p w14:paraId="61FFCA78" w14:textId="77777777" w:rsidR="007903E9" w:rsidRDefault="00000000">
      <w:pPr>
        <w:spacing w:after="160" w:line="300" w:lineRule="auto"/>
        <w:jc w:val="both"/>
      </w:pPr>
      <w:r>
        <w:rPr>
          <w:rFonts w:ascii="Calibri" w:eastAsia="Calibri" w:hAnsi="Calibri" w:cs="Calibri"/>
          <w:sz w:val="22"/>
          <w:szCs w:val="22"/>
        </w:rPr>
        <w:t>Poverty estimation has traditionally depended on the Multidimensional Poverty Index (MPI) and national sample surveys such as household consumption surveys. While reliable, these are conducted only once every few years, leaving policymakers without up-to-date information between survey cycles.</w:t>
      </w:r>
    </w:p>
    <w:p w14:paraId="2D0742AC" w14:textId="77777777" w:rsidR="007903E9" w:rsidRDefault="00000000">
      <w:pPr>
        <w:spacing w:after="160" w:line="300" w:lineRule="auto"/>
        <w:jc w:val="both"/>
      </w:pPr>
      <w:r>
        <w:rPr>
          <w:rFonts w:ascii="Calibri" w:eastAsia="Calibri" w:hAnsi="Calibri" w:cs="Calibri"/>
          <w:sz w:val="22"/>
          <w:szCs w:val="22"/>
        </w:rPr>
        <w:t>Machine Learning offers a complementary approach: publicly available socio-economic and administrative datasets (census records, satellite night-light imagery, mobile-usage data, and welfare-scheme enrolment records) can be combined and analysed continuously, allowing poverty indicators to be estimated more frequently and at finer geographic granularity (district or village level).</w:t>
      </w:r>
    </w:p>
    <w:p w14:paraId="0A959B9A" w14:textId="77777777" w:rsidR="007903E9" w:rsidRDefault="00000000">
      <w:pPr>
        <w:pStyle w:val="Heading2"/>
        <w:spacing w:before="240" w:after="120"/>
      </w:pPr>
      <w:r>
        <w:rPr>
          <w:rFonts w:ascii="Calibri" w:eastAsia="Calibri" w:hAnsi="Calibri" w:cs="Calibri"/>
          <w:b/>
          <w:bCs/>
          <w:color w:val="2E75B6"/>
          <w:sz w:val="24"/>
          <w:szCs w:val="24"/>
        </w:rPr>
        <w:lastRenderedPageBreak/>
        <w:t>Key Machine Learning challenges in this domain</w:t>
      </w:r>
    </w:p>
    <w:p w14:paraId="287F11A1" w14:textId="77777777" w:rsidR="007903E9" w:rsidRDefault="00000000">
      <w:pPr>
        <w:pStyle w:val="ListParagraph"/>
        <w:numPr>
          <w:ilvl w:val="0"/>
          <w:numId w:val="2"/>
        </w:numPr>
        <w:spacing w:after="100" w:line="280" w:lineRule="auto"/>
      </w:pPr>
      <w:r>
        <w:rPr>
          <w:rFonts w:ascii="Calibri" w:eastAsia="Calibri" w:hAnsi="Calibri" w:cs="Calibri"/>
          <w:sz w:val="22"/>
          <w:szCs w:val="22"/>
        </w:rPr>
        <w:t>Data quality: socio-economic datasets often contain missing values, inconsistent units, and reporting delays.</w:t>
      </w:r>
    </w:p>
    <w:p w14:paraId="2DD4072F" w14:textId="77777777" w:rsidR="007903E9" w:rsidRDefault="00000000">
      <w:pPr>
        <w:pStyle w:val="ListParagraph"/>
        <w:numPr>
          <w:ilvl w:val="0"/>
          <w:numId w:val="2"/>
        </w:numPr>
        <w:spacing w:after="100" w:line="280" w:lineRule="auto"/>
      </w:pPr>
      <w:r>
        <w:rPr>
          <w:rFonts w:ascii="Calibri" w:eastAsia="Calibri" w:hAnsi="Calibri" w:cs="Calibri"/>
          <w:sz w:val="22"/>
          <w:szCs w:val="22"/>
        </w:rPr>
        <w:t>Data imbalance: poverty-prone regions are usually a minority class compared to non-poverty-prone regions.</w:t>
      </w:r>
    </w:p>
    <w:p w14:paraId="3A246AAB" w14:textId="77777777" w:rsidR="007903E9" w:rsidRDefault="00000000">
      <w:pPr>
        <w:pStyle w:val="ListParagraph"/>
        <w:numPr>
          <w:ilvl w:val="0"/>
          <w:numId w:val="2"/>
        </w:numPr>
        <w:spacing w:after="100" w:line="280" w:lineRule="auto"/>
      </w:pPr>
      <w:r>
        <w:rPr>
          <w:rFonts w:ascii="Calibri" w:eastAsia="Calibri" w:hAnsi="Calibri" w:cs="Calibri"/>
          <w:sz w:val="22"/>
          <w:szCs w:val="22"/>
        </w:rPr>
        <w:t>Interpretability: government agencies require transparent, explainable models rather than “black-box” predictions, since decisions affect public welfare allocation.</w:t>
      </w:r>
    </w:p>
    <w:p w14:paraId="221CFEBC" w14:textId="77777777" w:rsidR="007903E9" w:rsidRDefault="00000000">
      <w:pPr>
        <w:pStyle w:val="ListParagraph"/>
        <w:numPr>
          <w:ilvl w:val="0"/>
          <w:numId w:val="2"/>
        </w:numPr>
        <w:spacing w:after="100" w:line="280" w:lineRule="auto"/>
      </w:pPr>
      <w:r>
        <w:rPr>
          <w:rFonts w:ascii="Calibri" w:eastAsia="Calibri" w:hAnsi="Calibri" w:cs="Calibri"/>
          <w:sz w:val="22"/>
          <w:szCs w:val="22"/>
        </w:rPr>
        <w:t>Generalisation: a model trained on one state or country may not generalise well to another due to differing socio-economic patterns.</w:t>
      </w:r>
    </w:p>
    <w:p w14:paraId="4D653941" w14:textId="77777777" w:rsidR="007903E9" w:rsidRDefault="00000000">
      <w:pPr>
        <w:pStyle w:val="Heading1"/>
        <w:pBdr>
          <w:bottom w:val="single" w:sz="6" w:space="4" w:color="2E75B6"/>
        </w:pBdr>
        <w:spacing w:before="320" w:after="160"/>
      </w:pPr>
      <w:r>
        <w:rPr>
          <w:rFonts w:ascii="Calibri" w:eastAsia="Calibri" w:hAnsi="Calibri" w:cs="Calibri"/>
          <w:b/>
          <w:bCs/>
          <w:color w:val="1F3864"/>
          <w:sz w:val="28"/>
          <w:szCs w:val="28"/>
        </w:rPr>
        <w:t>3. Identification of the Learning Problem</w:t>
      </w:r>
    </w:p>
    <w:p w14:paraId="3F524CFA" w14:textId="77777777" w:rsidR="007903E9" w:rsidRDefault="00000000">
      <w:pPr>
        <w:spacing w:after="160" w:line="300" w:lineRule="auto"/>
        <w:jc w:val="both"/>
      </w:pPr>
      <w:r>
        <w:rPr>
          <w:rFonts w:ascii="Calibri" w:eastAsia="Calibri" w:hAnsi="Calibri" w:cs="Calibri"/>
          <w:sz w:val="22"/>
          <w:szCs w:val="22"/>
        </w:rPr>
        <w:t>This is framed as a supervised classification problem, where each region (e.g., a district or village) is an instance to be labelled as “poverty-prone” or “not poverty-prone” based on its socio-economic profile.</w:t>
      </w:r>
    </w:p>
    <w:p w14:paraId="535FEEE8" w14:textId="77777777" w:rsidR="007903E9" w:rsidRDefault="00000000">
      <w:pPr>
        <w:pStyle w:val="Heading2"/>
        <w:spacing w:before="240" w:after="120"/>
      </w:pPr>
      <w:r>
        <w:rPr>
          <w:rFonts w:ascii="Calibri" w:eastAsia="Calibri" w:hAnsi="Calibri" w:cs="Calibri"/>
          <w:b/>
          <w:bCs/>
          <w:color w:val="2E75B6"/>
          <w:sz w:val="24"/>
          <w:szCs w:val="24"/>
        </w:rPr>
        <w:t>Input features (attributes)</w:t>
      </w:r>
    </w:p>
    <w:p w14:paraId="225D1D30" w14:textId="77777777" w:rsidR="007903E9" w:rsidRDefault="00000000">
      <w:pPr>
        <w:pStyle w:val="ListParagraph"/>
        <w:numPr>
          <w:ilvl w:val="0"/>
          <w:numId w:val="2"/>
        </w:numPr>
        <w:spacing w:after="100" w:line="280" w:lineRule="auto"/>
      </w:pPr>
      <w:r>
        <w:rPr>
          <w:rFonts w:ascii="Calibri" w:eastAsia="Calibri" w:hAnsi="Calibri" w:cs="Calibri"/>
          <w:sz w:val="22"/>
          <w:szCs w:val="22"/>
        </w:rPr>
        <w:t>Average household income and income distribution (Gini coefficient)</w:t>
      </w:r>
    </w:p>
    <w:p w14:paraId="69358B48" w14:textId="77777777" w:rsidR="007903E9" w:rsidRDefault="00000000">
      <w:pPr>
        <w:pStyle w:val="ListParagraph"/>
        <w:numPr>
          <w:ilvl w:val="0"/>
          <w:numId w:val="2"/>
        </w:numPr>
        <w:spacing w:after="100" w:line="280" w:lineRule="auto"/>
      </w:pPr>
      <w:r>
        <w:rPr>
          <w:rFonts w:ascii="Calibri" w:eastAsia="Calibri" w:hAnsi="Calibri" w:cs="Calibri"/>
          <w:sz w:val="22"/>
          <w:szCs w:val="22"/>
        </w:rPr>
        <w:t>Employment / unemployment rate</w:t>
      </w:r>
    </w:p>
    <w:p w14:paraId="462D48FC" w14:textId="77777777" w:rsidR="007903E9" w:rsidRDefault="00000000">
      <w:pPr>
        <w:pStyle w:val="ListParagraph"/>
        <w:numPr>
          <w:ilvl w:val="0"/>
          <w:numId w:val="2"/>
        </w:numPr>
        <w:spacing w:after="100" w:line="280" w:lineRule="auto"/>
      </w:pPr>
      <w:r>
        <w:rPr>
          <w:rFonts w:ascii="Calibri" w:eastAsia="Calibri" w:hAnsi="Calibri" w:cs="Calibri"/>
          <w:sz w:val="22"/>
          <w:szCs w:val="22"/>
        </w:rPr>
        <w:t>Literacy rate and average years of schooling</w:t>
      </w:r>
    </w:p>
    <w:p w14:paraId="5255C0BD" w14:textId="77777777" w:rsidR="007903E9" w:rsidRDefault="00000000">
      <w:pPr>
        <w:pStyle w:val="ListParagraph"/>
        <w:numPr>
          <w:ilvl w:val="0"/>
          <w:numId w:val="2"/>
        </w:numPr>
        <w:spacing w:after="100" w:line="280" w:lineRule="auto"/>
      </w:pPr>
      <w:r>
        <w:rPr>
          <w:rFonts w:ascii="Calibri" w:eastAsia="Calibri" w:hAnsi="Calibri" w:cs="Calibri"/>
          <w:sz w:val="22"/>
          <w:szCs w:val="22"/>
        </w:rPr>
        <w:t>Access to electricity, clean drinking water, and sanitation</w:t>
      </w:r>
    </w:p>
    <w:p w14:paraId="3ED000A8" w14:textId="77777777" w:rsidR="007903E9" w:rsidRDefault="00000000">
      <w:pPr>
        <w:pStyle w:val="ListParagraph"/>
        <w:numPr>
          <w:ilvl w:val="0"/>
          <w:numId w:val="2"/>
        </w:numPr>
        <w:spacing w:after="100" w:line="280" w:lineRule="auto"/>
      </w:pPr>
      <w:r>
        <w:rPr>
          <w:rFonts w:ascii="Calibri" w:eastAsia="Calibri" w:hAnsi="Calibri" w:cs="Calibri"/>
          <w:sz w:val="22"/>
          <w:szCs w:val="22"/>
        </w:rPr>
        <w:t>Housing quality (type of dwelling, number of rooms per person)</w:t>
      </w:r>
    </w:p>
    <w:p w14:paraId="4CB5F962" w14:textId="77777777" w:rsidR="007903E9" w:rsidRDefault="00000000">
      <w:pPr>
        <w:pStyle w:val="ListParagraph"/>
        <w:numPr>
          <w:ilvl w:val="0"/>
          <w:numId w:val="2"/>
        </w:numPr>
        <w:spacing w:after="100" w:line="280" w:lineRule="auto"/>
      </w:pPr>
      <w:r>
        <w:rPr>
          <w:rFonts w:ascii="Calibri" w:eastAsia="Calibri" w:hAnsi="Calibri" w:cs="Calibri"/>
          <w:sz w:val="22"/>
          <w:szCs w:val="22"/>
        </w:rPr>
        <w:t>Health indicators (child malnutrition rate, access to healthcare facilities)</w:t>
      </w:r>
    </w:p>
    <w:p w14:paraId="7C2D01F5" w14:textId="77777777" w:rsidR="007903E9" w:rsidRDefault="00000000">
      <w:pPr>
        <w:pStyle w:val="Heading2"/>
        <w:spacing w:before="240" w:after="120"/>
      </w:pPr>
      <w:r>
        <w:rPr>
          <w:rFonts w:ascii="Calibri" w:eastAsia="Calibri" w:hAnsi="Calibri" w:cs="Calibri"/>
          <w:b/>
          <w:bCs/>
          <w:color w:val="2E75B6"/>
          <w:sz w:val="24"/>
          <w:szCs w:val="24"/>
        </w:rPr>
        <w:t>Target output</w:t>
      </w:r>
    </w:p>
    <w:p w14:paraId="65B120A4" w14:textId="77777777" w:rsidR="007903E9" w:rsidRDefault="00000000">
      <w:pPr>
        <w:spacing w:after="160" w:line="300" w:lineRule="auto"/>
        <w:jc w:val="both"/>
      </w:pPr>
      <w:r>
        <w:rPr>
          <w:rFonts w:ascii="Calibri" w:eastAsia="Calibri" w:hAnsi="Calibri" w:cs="Calibri"/>
          <w:sz w:val="22"/>
          <w:szCs w:val="22"/>
        </w:rPr>
        <w:t>A binary (or ordinal) label indicating the poverty status of a region – for example, Poverty-Prone / Not Poverty-Prone, or a multi-level scale such as Low / Moderate / High poverty risk.</w:t>
      </w:r>
    </w:p>
    <w:p w14:paraId="573E3188" w14:textId="77777777" w:rsidR="007903E9" w:rsidRDefault="00000000">
      <w:pPr>
        <w:pStyle w:val="Heading2"/>
        <w:spacing w:before="240" w:after="120"/>
      </w:pPr>
      <w:r>
        <w:rPr>
          <w:rFonts w:ascii="Calibri" w:eastAsia="Calibri" w:hAnsi="Calibri" w:cs="Calibri"/>
          <w:b/>
          <w:bCs/>
          <w:color w:val="2E75B6"/>
          <w:sz w:val="24"/>
          <w:szCs w:val="24"/>
        </w:rPr>
        <w:t>Data representation</w:t>
      </w:r>
    </w:p>
    <w:p w14:paraId="07FF1536" w14:textId="77777777" w:rsidR="007903E9" w:rsidRDefault="00000000">
      <w:pPr>
        <w:spacing w:after="160" w:line="300" w:lineRule="auto"/>
        <w:jc w:val="both"/>
      </w:pPr>
      <w:r>
        <w:rPr>
          <w:rFonts w:ascii="Calibri" w:eastAsia="Calibri" w:hAnsi="Calibri" w:cs="Calibri"/>
          <w:sz w:val="22"/>
          <w:szCs w:val="22"/>
        </w:rPr>
        <w:t>Each region is represented as a feature vector of the attributes listed above, typically normalised to a common scale (e.g., 0–1) so that indicators measured in different units (currency, percentages, counts) can be compared fairly. This structured, tabular representation is well suited to concept-learning and decision-tree style algorithms, where each attribute forms one dimension of the hypothesis space.</w:t>
      </w:r>
    </w:p>
    <w:p w14:paraId="5FDD742F" w14:textId="77777777" w:rsidR="007903E9" w:rsidRDefault="00000000">
      <w:pPr>
        <w:pStyle w:val="Heading1"/>
        <w:pBdr>
          <w:bottom w:val="single" w:sz="6" w:space="4" w:color="2E75B6"/>
        </w:pBdr>
        <w:spacing w:before="320" w:after="160"/>
      </w:pPr>
      <w:r>
        <w:rPr>
          <w:rFonts w:ascii="Calibri" w:eastAsia="Calibri" w:hAnsi="Calibri" w:cs="Calibri"/>
          <w:b/>
          <w:bCs/>
          <w:color w:val="1F3864"/>
          <w:sz w:val="28"/>
          <w:szCs w:val="28"/>
        </w:rPr>
        <w:t>4. Selection and Justification of the Machine Learning Approach</w:t>
      </w:r>
    </w:p>
    <w:p w14:paraId="4DBF186C" w14:textId="77777777" w:rsidR="007903E9" w:rsidRDefault="00000000">
      <w:pPr>
        <w:spacing w:after="160" w:line="300" w:lineRule="auto"/>
        <w:jc w:val="both"/>
      </w:pPr>
      <w:r>
        <w:rPr>
          <w:rFonts w:ascii="Calibri" w:eastAsia="Calibri" w:hAnsi="Calibri" w:cs="Calibri"/>
          <w:sz w:val="22"/>
          <w:szCs w:val="22"/>
        </w:rPr>
        <w:t>Decision Tree Learning is selected as the primary approach for this problem, complemented by the concept-learning perspective for understanding the hypothesis space.</w:t>
      </w:r>
    </w:p>
    <w:p w14:paraId="3718CFE9" w14:textId="77777777" w:rsidR="007903E9" w:rsidRDefault="00000000">
      <w:pPr>
        <w:pStyle w:val="Heading2"/>
        <w:spacing w:before="240" w:after="120"/>
      </w:pPr>
      <w:r>
        <w:rPr>
          <w:rFonts w:ascii="Calibri" w:eastAsia="Calibri" w:hAnsi="Calibri" w:cs="Calibri"/>
          <w:b/>
          <w:bCs/>
          <w:color w:val="2E75B6"/>
          <w:sz w:val="24"/>
          <w:szCs w:val="24"/>
        </w:rPr>
        <w:t>Why Decision Tree Learning fits this problem</w:t>
      </w:r>
    </w:p>
    <w:p w14:paraId="4DECEDF8" w14:textId="77777777" w:rsidR="007903E9" w:rsidRDefault="00000000">
      <w:pPr>
        <w:pStyle w:val="ListParagraph"/>
        <w:numPr>
          <w:ilvl w:val="0"/>
          <w:numId w:val="2"/>
        </w:numPr>
        <w:spacing w:after="100" w:line="280" w:lineRule="auto"/>
      </w:pPr>
      <w:r>
        <w:rPr>
          <w:rFonts w:ascii="Calibri" w:eastAsia="Calibri" w:hAnsi="Calibri" w:cs="Calibri"/>
          <w:sz w:val="22"/>
          <w:szCs w:val="22"/>
        </w:rPr>
        <w:lastRenderedPageBreak/>
        <w:t>Socio-economic attributes are a mix of continuous (income, literacy rate) and categorical (housing type) values, which decision trees handle naturally without extensive preprocessing.</w:t>
      </w:r>
    </w:p>
    <w:p w14:paraId="15721225" w14:textId="77777777" w:rsidR="007903E9" w:rsidRDefault="00000000">
      <w:pPr>
        <w:pStyle w:val="ListParagraph"/>
        <w:numPr>
          <w:ilvl w:val="0"/>
          <w:numId w:val="2"/>
        </w:numPr>
        <w:spacing w:after="100" w:line="280" w:lineRule="auto"/>
      </w:pPr>
      <w:r>
        <w:rPr>
          <w:rFonts w:ascii="Calibri" w:eastAsia="Calibri" w:hAnsi="Calibri" w:cs="Calibri"/>
          <w:sz w:val="22"/>
          <w:szCs w:val="22"/>
        </w:rPr>
        <w:t>The resulting tree is a human-readable set of if-then rules (e.g., “IF income &lt; threshold AND literacy rate &lt; threshold THEN poverty-prone”), which satisfies the interpretability requirement of government stakeholders.</w:t>
      </w:r>
    </w:p>
    <w:p w14:paraId="542EE11E" w14:textId="77777777" w:rsidR="007903E9" w:rsidRDefault="00000000">
      <w:pPr>
        <w:pStyle w:val="ListParagraph"/>
        <w:numPr>
          <w:ilvl w:val="0"/>
          <w:numId w:val="2"/>
        </w:numPr>
        <w:spacing w:after="100" w:line="280" w:lineRule="auto"/>
      </w:pPr>
      <w:r>
        <w:rPr>
          <w:rFonts w:ascii="Calibri" w:eastAsia="Calibri" w:hAnsi="Calibri" w:cs="Calibri"/>
          <w:sz w:val="22"/>
          <w:szCs w:val="22"/>
        </w:rPr>
        <w:t>Decision trees perform implicit feature selection by choosing the most informative attribute (highest information gain) at each split, which helps identify which socio-economic factors matter most.</w:t>
      </w:r>
    </w:p>
    <w:p w14:paraId="257F2746" w14:textId="77777777" w:rsidR="007903E9" w:rsidRDefault="00000000">
      <w:pPr>
        <w:pStyle w:val="ListParagraph"/>
        <w:numPr>
          <w:ilvl w:val="0"/>
          <w:numId w:val="2"/>
        </w:numPr>
        <w:spacing w:after="100" w:line="280" w:lineRule="auto"/>
      </w:pPr>
      <w:r>
        <w:rPr>
          <w:rFonts w:ascii="Calibri" w:eastAsia="Calibri" w:hAnsi="Calibri" w:cs="Calibri"/>
          <w:sz w:val="22"/>
          <w:szCs w:val="22"/>
        </w:rPr>
        <w:t>The inductive bias of decision tree learning – a preference for shorter trees and attributes with higher information gain (Occam’s razor) – aligns well with the goal of producing simple, explainable rules rather than an overly complex model that overfits limited survey data.</w:t>
      </w:r>
    </w:p>
    <w:p w14:paraId="1A126713" w14:textId="77777777" w:rsidR="007903E9" w:rsidRDefault="00000000">
      <w:pPr>
        <w:spacing w:after="160" w:line="300" w:lineRule="auto"/>
        <w:jc w:val="both"/>
      </w:pPr>
      <w:r>
        <w:rPr>
          <w:rFonts w:ascii="Calibri" w:eastAsia="Calibri" w:hAnsi="Calibri" w:cs="Calibri"/>
          <w:sz w:val="22"/>
          <w:szCs w:val="22"/>
        </w:rPr>
        <w:t>Concept learning and version-space reasoning are used conceptually during feature analysis: each candidate rule (e.g., “low income AND low literacy”) can be viewed as a hypothesis within the version space of “poverty-prone region” concepts, narrowed down as more labelled regions are observed.</w:t>
      </w:r>
    </w:p>
    <w:p w14:paraId="4F08F1AF" w14:textId="77777777" w:rsidR="007903E9" w:rsidRDefault="00000000">
      <w:pPr>
        <w:pStyle w:val="Heading1"/>
        <w:pBdr>
          <w:bottom w:val="single" w:sz="6" w:space="4" w:color="2E75B6"/>
        </w:pBdr>
        <w:spacing w:before="320" w:after="160"/>
      </w:pPr>
      <w:r>
        <w:rPr>
          <w:rFonts w:ascii="Calibri" w:eastAsia="Calibri" w:hAnsi="Calibri" w:cs="Calibri"/>
          <w:b/>
          <w:bCs/>
          <w:color w:val="1F3864"/>
          <w:sz w:val="28"/>
          <w:szCs w:val="28"/>
        </w:rPr>
        <w:t>5. Proposed Algorithm and Workflow</w:t>
      </w:r>
    </w:p>
    <w:p w14:paraId="252C9FBE" w14:textId="77777777" w:rsidR="007903E9" w:rsidRDefault="00000000">
      <w:pPr>
        <w:spacing w:after="160" w:line="300" w:lineRule="auto"/>
        <w:jc w:val="both"/>
      </w:pPr>
      <w:r>
        <w:rPr>
          <w:rFonts w:ascii="Calibri" w:eastAsia="Calibri" w:hAnsi="Calibri" w:cs="Calibri"/>
          <w:sz w:val="22"/>
          <w:szCs w:val="22"/>
        </w:rPr>
        <w:t>The end-to-end workflow for the poverty-region classification model is as follows:</w:t>
      </w:r>
    </w:p>
    <w:p w14:paraId="3BF8F558" w14:textId="77777777" w:rsidR="007903E9" w:rsidRDefault="00000000">
      <w:pPr>
        <w:pStyle w:val="ListParagraph"/>
        <w:numPr>
          <w:ilvl w:val="0"/>
          <w:numId w:val="3"/>
        </w:numPr>
        <w:spacing w:after="100" w:line="280" w:lineRule="auto"/>
      </w:pPr>
      <w:r>
        <w:rPr>
          <w:rFonts w:ascii="Calibri" w:eastAsia="Calibri" w:hAnsi="Calibri" w:cs="Calibri"/>
          <w:sz w:val="22"/>
          <w:szCs w:val="22"/>
        </w:rPr>
        <w:t>Data collection: Gather regional socio-economic data from census records, government welfare databases, and open data portals.</w:t>
      </w:r>
    </w:p>
    <w:p w14:paraId="58E90915" w14:textId="77777777" w:rsidR="007903E9" w:rsidRDefault="00000000">
      <w:pPr>
        <w:pStyle w:val="ListParagraph"/>
        <w:numPr>
          <w:ilvl w:val="0"/>
          <w:numId w:val="3"/>
        </w:numPr>
        <w:spacing w:after="100" w:line="280" w:lineRule="auto"/>
      </w:pPr>
      <w:r>
        <w:rPr>
          <w:rFonts w:ascii="Calibri" w:eastAsia="Calibri" w:hAnsi="Calibri" w:cs="Calibri"/>
          <w:sz w:val="22"/>
          <w:szCs w:val="22"/>
        </w:rPr>
        <w:t>Data pre-processing: Handle missing values (imputation), normalise numeric attributes, and encode categorical attributes.</w:t>
      </w:r>
    </w:p>
    <w:p w14:paraId="7F0E5BD8" w14:textId="77777777" w:rsidR="007903E9" w:rsidRDefault="00000000">
      <w:pPr>
        <w:pStyle w:val="ListParagraph"/>
        <w:numPr>
          <w:ilvl w:val="0"/>
          <w:numId w:val="3"/>
        </w:numPr>
        <w:spacing w:after="100" w:line="280" w:lineRule="auto"/>
      </w:pPr>
      <w:r>
        <w:rPr>
          <w:rFonts w:ascii="Calibri" w:eastAsia="Calibri" w:hAnsi="Calibri" w:cs="Calibri"/>
          <w:sz w:val="22"/>
          <w:szCs w:val="22"/>
        </w:rPr>
        <w:t>Feature–target formation: Label each region using an existing poverty benchmark (e.g., below/above the poverty line) to create training data.</w:t>
      </w:r>
    </w:p>
    <w:p w14:paraId="64E658EA" w14:textId="77777777" w:rsidR="007903E9" w:rsidRDefault="00000000">
      <w:pPr>
        <w:pStyle w:val="ListParagraph"/>
        <w:numPr>
          <w:ilvl w:val="0"/>
          <w:numId w:val="3"/>
        </w:numPr>
        <w:spacing w:after="100" w:line="280" w:lineRule="auto"/>
      </w:pPr>
      <w:r>
        <w:rPr>
          <w:rFonts w:ascii="Calibri" w:eastAsia="Calibri" w:hAnsi="Calibri" w:cs="Calibri"/>
          <w:sz w:val="22"/>
          <w:szCs w:val="22"/>
        </w:rPr>
        <w:t>Train–test split: Divide the labelled dataset into training and testing subsets (e.g., 80:20).</w:t>
      </w:r>
    </w:p>
    <w:p w14:paraId="73EDF520" w14:textId="77777777" w:rsidR="007903E9" w:rsidRDefault="00000000">
      <w:pPr>
        <w:pStyle w:val="ListParagraph"/>
        <w:numPr>
          <w:ilvl w:val="0"/>
          <w:numId w:val="3"/>
        </w:numPr>
        <w:spacing w:after="100" w:line="280" w:lineRule="auto"/>
      </w:pPr>
      <w:r>
        <w:rPr>
          <w:rFonts w:ascii="Calibri" w:eastAsia="Calibri" w:hAnsi="Calibri" w:cs="Calibri"/>
          <w:sz w:val="22"/>
          <w:szCs w:val="22"/>
        </w:rPr>
        <w:t>Model training (Decision Tree – ID3/C4.5 style): At each node, compute information gain (or gain ratio) for every attribute and split on the attribute that best separates poverty-prone from non-poverty-prone regions; repeat recursively until a stopping criterion (pure leaf, minimum samples, or maximum depth) is reached.</w:t>
      </w:r>
    </w:p>
    <w:p w14:paraId="0AE1D0F4" w14:textId="77777777" w:rsidR="007903E9" w:rsidRDefault="00000000">
      <w:pPr>
        <w:pStyle w:val="ListParagraph"/>
        <w:numPr>
          <w:ilvl w:val="0"/>
          <w:numId w:val="3"/>
        </w:numPr>
        <w:spacing w:after="100" w:line="280" w:lineRule="auto"/>
      </w:pPr>
      <w:r>
        <w:rPr>
          <w:rFonts w:ascii="Calibri" w:eastAsia="Calibri" w:hAnsi="Calibri" w:cs="Calibri"/>
          <w:sz w:val="22"/>
          <w:szCs w:val="22"/>
        </w:rPr>
        <w:t>Pruning: Apply pruning to remove branches that only fit noise in the training data, improving generalisation.</w:t>
      </w:r>
    </w:p>
    <w:p w14:paraId="1419CBBA" w14:textId="77777777" w:rsidR="007903E9" w:rsidRDefault="00000000">
      <w:pPr>
        <w:pStyle w:val="ListParagraph"/>
        <w:numPr>
          <w:ilvl w:val="0"/>
          <w:numId w:val="3"/>
        </w:numPr>
        <w:spacing w:after="100" w:line="280" w:lineRule="auto"/>
      </w:pPr>
      <w:r>
        <w:rPr>
          <w:rFonts w:ascii="Calibri" w:eastAsia="Calibri" w:hAnsi="Calibri" w:cs="Calibri"/>
          <w:sz w:val="22"/>
          <w:szCs w:val="22"/>
        </w:rPr>
        <w:t>Evaluation: Test the model on unseen regions and measure accuracy, precision, recall, and F1-score, since poverty-prone regions may be a minority class.</w:t>
      </w:r>
    </w:p>
    <w:p w14:paraId="3CA9630E" w14:textId="77777777" w:rsidR="007903E9" w:rsidRDefault="00000000">
      <w:pPr>
        <w:pStyle w:val="ListParagraph"/>
        <w:numPr>
          <w:ilvl w:val="0"/>
          <w:numId w:val="3"/>
        </w:numPr>
        <w:spacing w:after="100" w:line="280" w:lineRule="auto"/>
      </w:pPr>
      <w:r>
        <w:rPr>
          <w:rFonts w:ascii="Calibri" w:eastAsia="Calibri" w:hAnsi="Calibri" w:cs="Calibri"/>
          <w:sz w:val="22"/>
          <w:szCs w:val="22"/>
        </w:rPr>
        <w:t>Deployment and interpretation: Present the resulting decision rules to policymakers so that resource allocation decisions can be explained and audited.</w:t>
      </w:r>
    </w:p>
    <w:p w14:paraId="4949EAAD" w14:textId="77777777" w:rsidR="007903E9" w:rsidRDefault="00000000">
      <w:pPr>
        <w:spacing w:after="160" w:line="300" w:lineRule="auto"/>
        <w:jc w:val="both"/>
      </w:pPr>
      <w:r>
        <w:rPr>
          <w:rFonts w:ascii="Calibri" w:eastAsia="Calibri" w:hAnsi="Calibri" w:cs="Calibri"/>
          <w:sz w:val="22"/>
          <w:szCs w:val="22"/>
        </w:rPr>
        <w:t>Conceptually, this workflow can also be viewed through the Candidate-Elimination lens: the set of consistent hypotheses (rules describing “poverty-prone”) is progressively narrowed as more labelled regions are processed, converging toward the specific attribute combinations that best separate the two classes.</w:t>
      </w:r>
    </w:p>
    <w:p w14:paraId="33BCB97A" w14:textId="77777777" w:rsidR="007903E9" w:rsidRDefault="00000000">
      <w:pPr>
        <w:pStyle w:val="Heading1"/>
        <w:pBdr>
          <w:bottom w:val="single" w:sz="6" w:space="4" w:color="2E75B6"/>
        </w:pBdr>
        <w:spacing w:before="320" w:after="160"/>
      </w:pPr>
      <w:r>
        <w:rPr>
          <w:rFonts w:ascii="Calibri" w:eastAsia="Calibri" w:hAnsi="Calibri" w:cs="Calibri"/>
          <w:b/>
          <w:bCs/>
          <w:color w:val="1F3864"/>
          <w:sz w:val="28"/>
          <w:szCs w:val="28"/>
        </w:rPr>
        <w:lastRenderedPageBreak/>
        <w:t>6. Analysis of Expected Outcomes, Advantages, Limitations and Applications</w:t>
      </w:r>
    </w:p>
    <w:p w14:paraId="6A2453DC" w14:textId="77777777" w:rsidR="007903E9" w:rsidRDefault="00000000">
      <w:pPr>
        <w:pStyle w:val="Heading2"/>
        <w:spacing w:before="240" w:after="120"/>
      </w:pPr>
      <w:r>
        <w:rPr>
          <w:rFonts w:ascii="Calibri" w:eastAsia="Calibri" w:hAnsi="Calibri" w:cs="Calibri"/>
          <w:b/>
          <w:bCs/>
          <w:color w:val="2E75B6"/>
          <w:sz w:val="24"/>
          <w:szCs w:val="24"/>
        </w:rPr>
        <w:t>Expected outcomes</w:t>
      </w:r>
    </w:p>
    <w:p w14:paraId="0EB21743" w14:textId="77777777" w:rsidR="007903E9" w:rsidRDefault="00000000">
      <w:pPr>
        <w:spacing w:after="160" w:line="300" w:lineRule="auto"/>
        <w:jc w:val="both"/>
      </w:pPr>
      <w:r>
        <w:rPr>
          <w:rFonts w:ascii="Calibri" w:eastAsia="Calibri" w:hAnsi="Calibri" w:cs="Calibri"/>
          <w:sz w:val="22"/>
          <w:szCs w:val="22"/>
        </w:rPr>
        <w:t>A trained decision tree that classifies regions as poverty-prone or not with reasonable accuracy, together with a ranked list of the socio-economic attributes (e.g., income, literacy, access to electricity) that most strongly influence poverty status.</w:t>
      </w:r>
    </w:p>
    <w:p w14:paraId="61330DE0" w14:textId="77777777" w:rsidR="007903E9" w:rsidRDefault="00000000">
      <w:pPr>
        <w:pStyle w:val="Heading2"/>
        <w:spacing w:before="240" w:after="120"/>
      </w:pPr>
      <w:r>
        <w:rPr>
          <w:rFonts w:ascii="Calibri" w:eastAsia="Calibri" w:hAnsi="Calibri" w:cs="Calibri"/>
          <w:b/>
          <w:bCs/>
          <w:color w:val="2E75B6"/>
          <w:sz w:val="24"/>
          <w:szCs w:val="24"/>
        </w:rPr>
        <w:t>Advantages</w:t>
      </w:r>
    </w:p>
    <w:p w14:paraId="7EA82E7A" w14:textId="77777777" w:rsidR="007903E9" w:rsidRDefault="00000000">
      <w:pPr>
        <w:pStyle w:val="ListParagraph"/>
        <w:numPr>
          <w:ilvl w:val="0"/>
          <w:numId w:val="2"/>
        </w:numPr>
        <w:spacing w:after="100" w:line="280" w:lineRule="auto"/>
      </w:pPr>
      <w:r>
        <w:rPr>
          <w:rFonts w:ascii="Calibri" w:eastAsia="Calibri" w:hAnsi="Calibri" w:cs="Calibri"/>
          <w:sz w:val="22"/>
          <w:szCs w:val="22"/>
        </w:rPr>
        <w:t>High interpretability – rules can be explained directly to non-technical policymakers.</w:t>
      </w:r>
    </w:p>
    <w:p w14:paraId="150BF1F0" w14:textId="77777777" w:rsidR="007903E9" w:rsidRDefault="00000000">
      <w:pPr>
        <w:pStyle w:val="ListParagraph"/>
        <w:numPr>
          <w:ilvl w:val="0"/>
          <w:numId w:val="2"/>
        </w:numPr>
        <w:spacing w:after="100" w:line="280" w:lineRule="auto"/>
      </w:pPr>
      <w:r>
        <w:rPr>
          <w:rFonts w:ascii="Calibri" w:eastAsia="Calibri" w:hAnsi="Calibri" w:cs="Calibri"/>
          <w:sz w:val="22"/>
          <w:szCs w:val="22"/>
        </w:rPr>
        <w:t>Works with mixed data types and requires relatively little pre-processing.</w:t>
      </w:r>
    </w:p>
    <w:p w14:paraId="064D4228" w14:textId="77777777" w:rsidR="007903E9" w:rsidRDefault="00000000">
      <w:pPr>
        <w:pStyle w:val="ListParagraph"/>
        <w:numPr>
          <w:ilvl w:val="0"/>
          <w:numId w:val="2"/>
        </w:numPr>
        <w:spacing w:after="100" w:line="280" w:lineRule="auto"/>
      </w:pPr>
      <w:r>
        <w:rPr>
          <w:rFonts w:ascii="Calibri" w:eastAsia="Calibri" w:hAnsi="Calibri" w:cs="Calibri"/>
          <w:sz w:val="22"/>
          <w:szCs w:val="22"/>
        </w:rPr>
        <w:t>Fast to train and update as new survey data becomes available.</w:t>
      </w:r>
    </w:p>
    <w:p w14:paraId="5CEFB453" w14:textId="77777777" w:rsidR="007903E9" w:rsidRDefault="00000000">
      <w:pPr>
        <w:pStyle w:val="ListParagraph"/>
        <w:numPr>
          <w:ilvl w:val="0"/>
          <w:numId w:val="2"/>
        </w:numPr>
        <w:spacing w:after="100" w:line="280" w:lineRule="auto"/>
      </w:pPr>
      <w:r>
        <w:rPr>
          <w:rFonts w:ascii="Calibri" w:eastAsia="Calibri" w:hAnsi="Calibri" w:cs="Calibri"/>
          <w:sz w:val="22"/>
          <w:szCs w:val="22"/>
        </w:rPr>
        <w:t>Naturally highlights which features matter most, supporting targeted interventions.</w:t>
      </w:r>
    </w:p>
    <w:p w14:paraId="72E5AC0A" w14:textId="77777777" w:rsidR="007903E9" w:rsidRDefault="00000000">
      <w:pPr>
        <w:pStyle w:val="Heading2"/>
        <w:spacing w:before="240" w:after="120"/>
      </w:pPr>
      <w:r>
        <w:rPr>
          <w:rFonts w:ascii="Calibri" w:eastAsia="Calibri" w:hAnsi="Calibri" w:cs="Calibri"/>
          <w:b/>
          <w:bCs/>
          <w:color w:val="2E75B6"/>
          <w:sz w:val="24"/>
          <w:szCs w:val="24"/>
        </w:rPr>
        <w:t>Limitations</w:t>
      </w:r>
    </w:p>
    <w:p w14:paraId="7005FE4E" w14:textId="77777777" w:rsidR="007903E9" w:rsidRDefault="00000000">
      <w:pPr>
        <w:pStyle w:val="ListParagraph"/>
        <w:numPr>
          <w:ilvl w:val="0"/>
          <w:numId w:val="2"/>
        </w:numPr>
        <w:spacing w:after="100" w:line="280" w:lineRule="auto"/>
      </w:pPr>
      <w:r>
        <w:rPr>
          <w:rFonts w:ascii="Calibri" w:eastAsia="Calibri" w:hAnsi="Calibri" w:cs="Calibri"/>
          <w:sz w:val="22"/>
          <w:szCs w:val="22"/>
        </w:rPr>
        <w:t>Prone to overfitting on small or noisy datasets if not pruned properly.</w:t>
      </w:r>
    </w:p>
    <w:p w14:paraId="30F9EE26" w14:textId="77777777" w:rsidR="007903E9" w:rsidRDefault="00000000">
      <w:pPr>
        <w:pStyle w:val="ListParagraph"/>
        <w:numPr>
          <w:ilvl w:val="0"/>
          <w:numId w:val="2"/>
        </w:numPr>
        <w:spacing w:after="100" w:line="280" w:lineRule="auto"/>
      </w:pPr>
      <w:r>
        <w:rPr>
          <w:rFonts w:ascii="Calibri" w:eastAsia="Calibri" w:hAnsi="Calibri" w:cs="Calibri"/>
          <w:sz w:val="22"/>
          <w:szCs w:val="22"/>
        </w:rPr>
        <w:t>Sensitive to class imbalance – may under-predict the minority poverty-prone class unless balanced (e.g., via resampling or weighted splits).</w:t>
      </w:r>
    </w:p>
    <w:p w14:paraId="7F31EC5C" w14:textId="77777777" w:rsidR="007903E9" w:rsidRDefault="00000000">
      <w:pPr>
        <w:pStyle w:val="ListParagraph"/>
        <w:numPr>
          <w:ilvl w:val="0"/>
          <w:numId w:val="2"/>
        </w:numPr>
        <w:spacing w:after="100" w:line="280" w:lineRule="auto"/>
      </w:pPr>
      <w:r>
        <w:rPr>
          <w:rFonts w:ascii="Calibri" w:eastAsia="Calibri" w:hAnsi="Calibri" w:cs="Calibri"/>
          <w:sz w:val="22"/>
          <w:szCs w:val="22"/>
        </w:rPr>
        <w:t>A single tree may be less accurate than ensemble methods (Random Forests, Gradient Boosting), though at some cost to interpretability.</w:t>
      </w:r>
    </w:p>
    <w:p w14:paraId="39458D58" w14:textId="77777777" w:rsidR="007903E9" w:rsidRDefault="00000000">
      <w:pPr>
        <w:pStyle w:val="ListParagraph"/>
        <w:numPr>
          <w:ilvl w:val="0"/>
          <w:numId w:val="2"/>
        </w:numPr>
        <w:spacing w:after="100" w:line="280" w:lineRule="auto"/>
      </w:pPr>
      <w:r>
        <w:rPr>
          <w:rFonts w:ascii="Calibri" w:eastAsia="Calibri" w:hAnsi="Calibri" w:cs="Calibri"/>
          <w:sz w:val="22"/>
          <w:szCs w:val="22"/>
        </w:rPr>
        <w:t>Model quality depends heavily on the accuracy and recency of the underlying socio-economic data.</w:t>
      </w:r>
    </w:p>
    <w:p w14:paraId="3C4C2FA0" w14:textId="77777777" w:rsidR="007903E9" w:rsidRDefault="00000000">
      <w:pPr>
        <w:pStyle w:val="Heading2"/>
        <w:spacing w:before="240" w:after="120"/>
      </w:pPr>
      <w:r>
        <w:rPr>
          <w:rFonts w:ascii="Calibri" w:eastAsia="Calibri" w:hAnsi="Calibri" w:cs="Calibri"/>
          <w:b/>
          <w:bCs/>
          <w:color w:val="2E75B6"/>
          <w:sz w:val="24"/>
          <w:szCs w:val="24"/>
        </w:rPr>
        <w:t>Practical applications</w:t>
      </w:r>
    </w:p>
    <w:p w14:paraId="51CBF1FA" w14:textId="77777777" w:rsidR="007903E9" w:rsidRDefault="00000000">
      <w:pPr>
        <w:pStyle w:val="ListParagraph"/>
        <w:numPr>
          <w:ilvl w:val="0"/>
          <w:numId w:val="2"/>
        </w:numPr>
        <w:spacing w:after="100" w:line="280" w:lineRule="auto"/>
      </w:pPr>
      <w:r>
        <w:rPr>
          <w:rFonts w:ascii="Calibri" w:eastAsia="Calibri" w:hAnsi="Calibri" w:cs="Calibri"/>
          <w:sz w:val="22"/>
          <w:szCs w:val="22"/>
        </w:rPr>
        <w:t>Prioritising districts for government welfare scheme rollout.</w:t>
      </w:r>
    </w:p>
    <w:p w14:paraId="180EF065" w14:textId="77777777" w:rsidR="007903E9" w:rsidRDefault="00000000">
      <w:pPr>
        <w:pStyle w:val="ListParagraph"/>
        <w:numPr>
          <w:ilvl w:val="0"/>
          <w:numId w:val="2"/>
        </w:numPr>
        <w:spacing w:after="100" w:line="280" w:lineRule="auto"/>
      </w:pPr>
      <w:r>
        <w:rPr>
          <w:rFonts w:ascii="Calibri" w:eastAsia="Calibri" w:hAnsi="Calibri" w:cs="Calibri"/>
          <w:sz w:val="22"/>
          <w:szCs w:val="22"/>
        </w:rPr>
        <w:t>Guiding NGOs and development agencies in allocating resources.</w:t>
      </w:r>
    </w:p>
    <w:p w14:paraId="10290DBD" w14:textId="77777777" w:rsidR="007903E9" w:rsidRDefault="00000000">
      <w:pPr>
        <w:pStyle w:val="ListParagraph"/>
        <w:numPr>
          <w:ilvl w:val="0"/>
          <w:numId w:val="2"/>
        </w:numPr>
        <w:spacing w:after="100" w:line="280" w:lineRule="auto"/>
      </w:pPr>
      <w:r>
        <w:rPr>
          <w:rFonts w:ascii="Calibri" w:eastAsia="Calibri" w:hAnsi="Calibri" w:cs="Calibri"/>
          <w:sz w:val="22"/>
          <w:szCs w:val="22"/>
        </w:rPr>
        <w:t>Supporting real-time poverty dashboards that update as new data arrives, between full census cycles.</w:t>
      </w:r>
    </w:p>
    <w:p w14:paraId="1200C43C" w14:textId="77777777" w:rsidR="007903E9" w:rsidRDefault="00000000">
      <w:pPr>
        <w:pStyle w:val="Heading1"/>
        <w:pBdr>
          <w:bottom w:val="single" w:sz="6" w:space="4" w:color="2E75B6"/>
        </w:pBdr>
        <w:spacing w:before="320" w:after="160"/>
      </w:pPr>
      <w:r>
        <w:rPr>
          <w:rFonts w:ascii="Calibri" w:eastAsia="Calibri" w:hAnsi="Calibri" w:cs="Calibri"/>
          <w:b/>
          <w:bCs/>
          <w:color w:val="1F3864"/>
          <w:sz w:val="28"/>
          <w:szCs w:val="28"/>
        </w:rPr>
        <w:t>7. Recommendations Aligned with SDG 1 – No Poverty</w:t>
      </w:r>
    </w:p>
    <w:p w14:paraId="4274EA98" w14:textId="77777777" w:rsidR="007903E9" w:rsidRDefault="00000000">
      <w:pPr>
        <w:pStyle w:val="ListParagraph"/>
        <w:numPr>
          <w:ilvl w:val="0"/>
          <w:numId w:val="2"/>
        </w:numPr>
        <w:spacing w:after="100" w:line="280" w:lineRule="auto"/>
      </w:pPr>
      <w:r>
        <w:rPr>
          <w:rFonts w:ascii="Calibri" w:eastAsia="Calibri" w:hAnsi="Calibri" w:cs="Calibri"/>
          <w:sz w:val="22"/>
          <w:szCs w:val="22"/>
        </w:rPr>
        <w:t>Combine decision-tree outputs with periodic ground-truth surveys to validate and recalibrate the model, ensuring predictions remain trustworthy.</w:t>
      </w:r>
    </w:p>
    <w:p w14:paraId="1A5896EC" w14:textId="77777777" w:rsidR="007903E9" w:rsidRDefault="00000000">
      <w:pPr>
        <w:pStyle w:val="ListParagraph"/>
        <w:numPr>
          <w:ilvl w:val="0"/>
          <w:numId w:val="2"/>
        </w:numPr>
        <w:spacing w:after="100" w:line="280" w:lineRule="auto"/>
      </w:pPr>
      <w:r>
        <w:rPr>
          <w:rFonts w:ascii="Calibri" w:eastAsia="Calibri" w:hAnsi="Calibri" w:cs="Calibri"/>
          <w:sz w:val="22"/>
          <w:szCs w:val="22"/>
        </w:rPr>
        <w:t>Use ensemble variants (Random Forest) where higher accuracy is needed, while still extracting feature-importance rankings for interpretability.</w:t>
      </w:r>
    </w:p>
    <w:p w14:paraId="53A29D12" w14:textId="77777777" w:rsidR="007903E9" w:rsidRDefault="00000000">
      <w:pPr>
        <w:pStyle w:val="ListParagraph"/>
        <w:numPr>
          <w:ilvl w:val="0"/>
          <w:numId w:val="2"/>
        </w:numPr>
        <w:spacing w:after="100" w:line="280" w:lineRule="auto"/>
      </w:pPr>
      <w:r>
        <w:rPr>
          <w:rFonts w:ascii="Calibri" w:eastAsia="Calibri" w:hAnsi="Calibri" w:cs="Calibri"/>
          <w:sz w:val="22"/>
          <w:szCs w:val="22"/>
        </w:rPr>
        <w:t>Integrate alternative data sources such as satellite night-light intensity and mobile-phone usage patterns to fill gaps between survey cycles.</w:t>
      </w:r>
    </w:p>
    <w:p w14:paraId="2070A45E" w14:textId="77777777" w:rsidR="007903E9" w:rsidRDefault="00000000">
      <w:pPr>
        <w:pStyle w:val="ListParagraph"/>
        <w:numPr>
          <w:ilvl w:val="0"/>
          <w:numId w:val="2"/>
        </w:numPr>
        <w:spacing w:after="100" w:line="280" w:lineRule="auto"/>
      </w:pPr>
      <w:r>
        <w:rPr>
          <w:rFonts w:ascii="Calibri" w:eastAsia="Calibri" w:hAnsi="Calibri" w:cs="Calibri"/>
          <w:sz w:val="22"/>
          <w:szCs w:val="22"/>
        </w:rPr>
        <w:t>Apply class-balancing techniques so that poverty-prone (minority) regions are not overlooked by the model.</w:t>
      </w:r>
    </w:p>
    <w:p w14:paraId="1C5E620C" w14:textId="77777777" w:rsidR="007903E9" w:rsidRDefault="00000000">
      <w:pPr>
        <w:pStyle w:val="ListParagraph"/>
        <w:numPr>
          <w:ilvl w:val="0"/>
          <w:numId w:val="2"/>
        </w:numPr>
        <w:spacing w:after="100" w:line="280" w:lineRule="auto"/>
      </w:pPr>
      <w:r>
        <w:rPr>
          <w:rFonts w:ascii="Calibri" w:eastAsia="Calibri" w:hAnsi="Calibri" w:cs="Calibri"/>
          <w:sz w:val="22"/>
          <w:szCs w:val="22"/>
        </w:rPr>
        <w:t>Present model outputs as an interactive dashboard for policymakers, mapped geographically, to directly support SDG 1 monitoring and resource-allocation decisions.</w:t>
      </w:r>
    </w:p>
    <w:p w14:paraId="6BE42D2A" w14:textId="77777777" w:rsidR="007903E9" w:rsidRDefault="00000000">
      <w:pPr>
        <w:pStyle w:val="Heading1"/>
        <w:pBdr>
          <w:bottom w:val="single" w:sz="6" w:space="4" w:color="2E75B6"/>
        </w:pBdr>
        <w:spacing w:before="320" w:after="160"/>
      </w:pPr>
      <w:r>
        <w:rPr>
          <w:rFonts w:ascii="Calibri" w:eastAsia="Calibri" w:hAnsi="Calibri" w:cs="Calibri"/>
          <w:b/>
          <w:bCs/>
          <w:color w:val="1F3864"/>
          <w:sz w:val="28"/>
          <w:szCs w:val="28"/>
        </w:rPr>
        <w:lastRenderedPageBreak/>
        <w:t>8. Conclusion</w:t>
      </w:r>
    </w:p>
    <w:p w14:paraId="2BA5970D" w14:textId="77777777" w:rsidR="007903E9" w:rsidRDefault="00000000">
      <w:pPr>
        <w:spacing w:after="160" w:line="300" w:lineRule="auto"/>
        <w:jc w:val="both"/>
      </w:pPr>
      <w:r>
        <w:rPr>
          <w:rFonts w:ascii="Calibri" w:eastAsia="Calibri" w:hAnsi="Calibri" w:cs="Calibri"/>
          <w:sz w:val="22"/>
          <w:szCs w:val="22"/>
        </w:rPr>
        <w:t>Machine Learning, particularly Decision Tree Learning, offers an interpretable and practical approach to identifying poverty-prone regions from socio-economic data. By framing poverty identification as a supervised classification problem and applying concepts such as information gain, inductive bias, and hypothesis-space narrowing, the model produces transparent, explainable rules that policymakers can trust and act upon. When combined with periodic validation and complementary data sources, such a model can meaningfully support the monitoring and achievement of SDG 1 – No Poverty by enabling faster, more targeted, and more equitable allocation of welfare resources.</w:t>
      </w:r>
    </w:p>
    <w:p w14:paraId="0AA08BB1" w14:textId="77777777" w:rsidR="007903E9" w:rsidRDefault="00000000">
      <w:pPr>
        <w:pStyle w:val="Heading1"/>
        <w:pBdr>
          <w:bottom w:val="single" w:sz="6" w:space="4" w:color="2E75B6"/>
        </w:pBdr>
        <w:spacing w:before="320" w:after="160"/>
      </w:pPr>
      <w:r>
        <w:rPr>
          <w:rFonts w:ascii="Calibri" w:eastAsia="Calibri" w:hAnsi="Calibri" w:cs="Calibri"/>
          <w:b/>
          <w:bCs/>
          <w:color w:val="1F3864"/>
          <w:sz w:val="28"/>
          <w:szCs w:val="28"/>
        </w:rPr>
        <w:t>9. References</w:t>
      </w:r>
    </w:p>
    <w:p w14:paraId="4C1BC118" w14:textId="77777777" w:rsidR="007903E9" w:rsidRDefault="00000000">
      <w:pPr>
        <w:spacing w:after="160" w:line="300" w:lineRule="auto"/>
        <w:jc w:val="both"/>
      </w:pPr>
      <w:r>
        <w:rPr>
          <w:rFonts w:ascii="Calibri" w:eastAsia="Calibri" w:hAnsi="Calibri" w:cs="Calibri"/>
          <w:sz w:val="22"/>
          <w:szCs w:val="22"/>
        </w:rPr>
        <w:t>United Nations. (2023). The Sustainable Development Goals Report 2023. United Nations Department of Economic and Social Affairs.</w:t>
      </w:r>
    </w:p>
    <w:p w14:paraId="5FCB8D9C" w14:textId="77777777" w:rsidR="007903E9" w:rsidRDefault="00000000">
      <w:pPr>
        <w:spacing w:after="160" w:line="300" w:lineRule="auto"/>
        <w:jc w:val="both"/>
      </w:pPr>
      <w:r>
        <w:rPr>
          <w:rFonts w:ascii="Calibri" w:eastAsia="Calibri" w:hAnsi="Calibri" w:cs="Calibri"/>
          <w:sz w:val="22"/>
          <w:szCs w:val="22"/>
        </w:rPr>
        <w:t>Mitchell, T. M. (1997). Machine Learning. McGraw-Hill Education.</w:t>
      </w:r>
    </w:p>
    <w:p w14:paraId="1F0475FC" w14:textId="77777777" w:rsidR="007903E9" w:rsidRDefault="00000000">
      <w:pPr>
        <w:spacing w:after="160" w:line="300" w:lineRule="auto"/>
        <w:jc w:val="both"/>
      </w:pPr>
      <w:r>
        <w:rPr>
          <w:rFonts w:ascii="Calibri" w:eastAsia="Calibri" w:hAnsi="Calibri" w:cs="Calibri"/>
          <w:sz w:val="22"/>
          <w:szCs w:val="22"/>
        </w:rPr>
        <w:t>World Bank. (2022). Poverty and Shared Prosperity 2022: Correcting Course. World Bank Publications.</w:t>
      </w:r>
    </w:p>
    <w:p w14:paraId="092F15FF" w14:textId="77777777" w:rsidR="007903E9" w:rsidRDefault="00000000">
      <w:pPr>
        <w:spacing w:after="160" w:line="300" w:lineRule="auto"/>
        <w:jc w:val="both"/>
      </w:pPr>
      <w:r>
        <w:rPr>
          <w:rFonts w:ascii="Calibri" w:eastAsia="Calibri" w:hAnsi="Calibri" w:cs="Calibri"/>
          <w:sz w:val="22"/>
          <w:szCs w:val="22"/>
        </w:rPr>
        <w:t>Jean, N., Burke, M., Xie, M., Davis, W. M., Lobell, D. B., &amp; Ermon, S. (2016). Combining satellite imagery and machine learning to predict poverty. Science, 353(6301), 790–794.</w:t>
      </w:r>
    </w:p>
    <w:p w14:paraId="6E6B9C1E" w14:textId="77777777" w:rsidR="007903E9" w:rsidRDefault="00000000">
      <w:pPr>
        <w:spacing w:after="160" w:line="300" w:lineRule="auto"/>
        <w:jc w:val="both"/>
      </w:pPr>
      <w:r>
        <w:rPr>
          <w:rFonts w:ascii="Calibri" w:eastAsia="Calibri" w:hAnsi="Calibri" w:cs="Calibri"/>
          <w:sz w:val="22"/>
          <w:szCs w:val="22"/>
        </w:rPr>
        <w:t>Quinlan, J. R. (1986). Induction of Decision Trees. Machine Learning, 1(1), 81–106.</w:t>
      </w:r>
    </w:p>
    <w:sectPr w:rsidR="007903E9">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FE559" w14:textId="77777777" w:rsidR="00F76D23" w:rsidRDefault="00F76D23">
      <w:r>
        <w:separator/>
      </w:r>
    </w:p>
  </w:endnote>
  <w:endnote w:type="continuationSeparator" w:id="0">
    <w:p w14:paraId="21198497" w14:textId="77777777" w:rsidR="00F76D23" w:rsidRDefault="00F76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0F35" w14:textId="77777777" w:rsidR="007903E9" w:rsidRDefault="00000000">
    <w:pPr>
      <w:jc w:val="center"/>
    </w:pPr>
    <w:r>
      <w:rPr>
        <w:rFonts w:ascii="Calibri" w:eastAsia="Calibri" w:hAnsi="Calibri" w:cs="Calibri"/>
        <w:color w:val="7F7F7F"/>
        <w:sz w:val="16"/>
        <w:szCs w:val="16"/>
      </w:rPr>
      <w:t xml:space="preserve">Page </w:t>
    </w:r>
    <w:r>
      <w:rPr>
        <w:rFonts w:ascii="Calibri" w:eastAsia="Calibri" w:hAnsi="Calibri" w:cs="Calibri"/>
        <w:color w:val="7F7F7F"/>
        <w:sz w:val="16"/>
        <w:szCs w:val="16"/>
      </w:rPr>
      <w:fldChar w:fldCharType="begin"/>
    </w:r>
    <w:r>
      <w:rPr>
        <w:rFonts w:ascii="Calibri" w:eastAsia="Calibri" w:hAnsi="Calibri" w:cs="Calibri"/>
        <w:color w:val="7F7F7F"/>
        <w:sz w:val="16"/>
        <w:szCs w:val="16"/>
      </w:rPr>
      <w:instrText>PAGE</w:instrText>
    </w:r>
    <w:r>
      <w:rPr>
        <w:rFonts w:ascii="Calibri" w:eastAsia="Calibri" w:hAnsi="Calibri" w:cs="Calibri"/>
        <w:color w:val="7F7F7F"/>
        <w:sz w:val="16"/>
        <w:szCs w:val="16"/>
      </w:rPr>
      <w:fldChar w:fldCharType="separate"/>
    </w:r>
    <w:r w:rsidR="00125E3A">
      <w:rPr>
        <w:rFonts w:ascii="Calibri" w:eastAsia="Calibri" w:hAnsi="Calibri" w:cs="Calibri"/>
        <w:noProof/>
        <w:color w:val="7F7F7F"/>
        <w:sz w:val="16"/>
        <w:szCs w:val="16"/>
      </w:rPr>
      <w:t>1</w:t>
    </w:r>
    <w:r>
      <w:rPr>
        <w:rFonts w:ascii="Calibri" w:eastAsia="Calibri" w:hAnsi="Calibri" w:cs="Calibri"/>
        <w:color w:val="7F7F7F"/>
        <w:sz w:val="16"/>
        <w:szCs w:val="16"/>
      </w:rPr>
      <w:fldChar w:fldCharType="end"/>
    </w:r>
    <w:r>
      <w:rPr>
        <w:rFonts w:ascii="Calibri" w:eastAsia="Calibri" w:hAnsi="Calibri" w:cs="Calibri"/>
        <w:color w:val="7F7F7F"/>
        <w:sz w:val="16"/>
        <w:szCs w:val="16"/>
      </w:rPr>
      <w:t xml:space="preserve"> of </w:t>
    </w:r>
    <w:r>
      <w:rPr>
        <w:rFonts w:ascii="Calibri" w:eastAsia="Calibri" w:hAnsi="Calibri" w:cs="Calibri"/>
        <w:color w:val="7F7F7F"/>
        <w:sz w:val="16"/>
        <w:szCs w:val="16"/>
      </w:rPr>
      <w:fldChar w:fldCharType="begin"/>
    </w:r>
    <w:r>
      <w:rPr>
        <w:rFonts w:ascii="Calibri" w:eastAsia="Calibri" w:hAnsi="Calibri" w:cs="Calibri"/>
        <w:color w:val="7F7F7F"/>
        <w:sz w:val="16"/>
        <w:szCs w:val="16"/>
      </w:rPr>
      <w:instrText>NUMPAGES</w:instrText>
    </w:r>
    <w:r>
      <w:rPr>
        <w:rFonts w:ascii="Calibri" w:eastAsia="Calibri" w:hAnsi="Calibri" w:cs="Calibri"/>
        <w:color w:val="7F7F7F"/>
        <w:sz w:val="16"/>
        <w:szCs w:val="16"/>
      </w:rPr>
      <w:fldChar w:fldCharType="separate"/>
    </w:r>
    <w:r w:rsidR="00125E3A">
      <w:rPr>
        <w:rFonts w:ascii="Calibri" w:eastAsia="Calibri" w:hAnsi="Calibri" w:cs="Calibri"/>
        <w:noProof/>
        <w:color w:val="7F7F7F"/>
        <w:sz w:val="16"/>
        <w:szCs w:val="16"/>
      </w:rPr>
      <w:t>2</w:t>
    </w:r>
    <w:r>
      <w:rPr>
        <w:rFonts w:ascii="Calibri" w:eastAsia="Calibri" w:hAnsi="Calibri" w:cs="Calibri"/>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7C47A" w14:textId="77777777" w:rsidR="00F76D23" w:rsidRDefault="00F76D23">
      <w:r>
        <w:separator/>
      </w:r>
    </w:p>
  </w:footnote>
  <w:footnote w:type="continuationSeparator" w:id="0">
    <w:p w14:paraId="5FB6E5B5" w14:textId="77777777" w:rsidR="00F76D23" w:rsidRDefault="00F76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F5D5" w14:textId="77777777" w:rsidR="007903E9" w:rsidRDefault="00000000">
    <w:pPr>
      <w:pBdr>
        <w:bottom w:val="single" w:sz="4" w:space="4" w:color="BFBFBF"/>
      </w:pBdr>
      <w:jc w:val="right"/>
    </w:pPr>
    <w:r>
      <w:rPr>
        <w:rFonts w:ascii="Calibri" w:eastAsia="Calibri" w:hAnsi="Calibri" w:cs="Calibri"/>
        <w:color w:val="7F7F7F"/>
        <w:sz w:val="16"/>
        <w:szCs w:val="16"/>
      </w:rPr>
      <w:t>Unit I – Machine Learning &amp; SDGs | Assignment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779"/>
    <w:multiLevelType w:val="hybridMultilevel"/>
    <w:tmpl w:val="F3A8186A"/>
    <w:lvl w:ilvl="0" w:tplc="E87C855C">
      <w:start w:val="1"/>
      <w:numFmt w:val="decimal"/>
      <w:lvlText w:val="%1."/>
      <w:lvlJc w:val="left"/>
      <w:pPr>
        <w:ind w:left="460" w:hanging="260"/>
      </w:pPr>
    </w:lvl>
    <w:lvl w:ilvl="1" w:tplc="82882116">
      <w:numFmt w:val="decimal"/>
      <w:lvlText w:val=""/>
      <w:lvlJc w:val="left"/>
    </w:lvl>
    <w:lvl w:ilvl="2" w:tplc="B6D6B236">
      <w:numFmt w:val="decimal"/>
      <w:lvlText w:val=""/>
      <w:lvlJc w:val="left"/>
    </w:lvl>
    <w:lvl w:ilvl="3" w:tplc="77B49132">
      <w:numFmt w:val="decimal"/>
      <w:lvlText w:val=""/>
      <w:lvlJc w:val="left"/>
    </w:lvl>
    <w:lvl w:ilvl="4" w:tplc="ACF84BBE">
      <w:numFmt w:val="decimal"/>
      <w:lvlText w:val=""/>
      <w:lvlJc w:val="left"/>
    </w:lvl>
    <w:lvl w:ilvl="5" w:tplc="11544154">
      <w:numFmt w:val="decimal"/>
      <w:lvlText w:val=""/>
      <w:lvlJc w:val="left"/>
    </w:lvl>
    <w:lvl w:ilvl="6" w:tplc="9C9C9D46">
      <w:numFmt w:val="decimal"/>
      <w:lvlText w:val=""/>
      <w:lvlJc w:val="left"/>
    </w:lvl>
    <w:lvl w:ilvl="7" w:tplc="F67CAFBA">
      <w:numFmt w:val="decimal"/>
      <w:lvlText w:val=""/>
      <w:lvlJc w:val="left"/>
    </w:lvl>
    <w:lvl w:ilvl="8" w:tplc="276A8808">
      <w:numFmt w:val="decimal"/>
      <w:lvlText w:val=""/>
      <w:lvlJc w:val="left"/>
    </w:lvl>
  </w:abstractNum>
  <w:abstractNum w:abstractNumId="1" w15:restartNumberingAfterBreak="0">
    <w:nsid w:val="54C14625"/>
    <w:multiLevelType w:val="hybridMultilevel"/>
    <w:tmpl w:val="9B98BDF4"/>
    <w:lvl w:ilvl="0" w:tplc="E8F80AB0">
      <w:start w:val="1"/>
      <w:numFmt w:val="bullet"/>
      <w:lvlText w:val="●"/>
      <w:lvlJc w:val="left"/>
      <w:pPr>
        <w:ind w:left="720" w:hanging="360"/>
      </w:pPr>
    </w:lvl>
    <w:lvl w:ilvl="1" w:tplc="71CAF706">
      <w:start w:val="1"/>
      <w:numFmt w:val="bullet"/>
      <w:lvlText w:val="○"/>
      <w:lvlJc w:val="left"/>
      <w:pPr>
        <w:ind w:left="1440" w:hanging="360"/>
      </w:pPr>
    </w:lvl>
    <w:lvl w:ilvl="2" w:tplc="62CE0E2C">
      <w:start w:val="1"/>
      <w:numFmt w:val="bullet"/>
      <w:lvlText w:val="■"/>
      <w:lvlJc w:val="left"/>
      <w:pPr>
        <w:ind w:left="2160" w:hanging="360"/>
      </w:pPr>
    </w:lvl>
    <w:lvl w:ilvl="3" w:tplc="2AB255FA">
      <w:start w:val="1"/>
      <w:numFmt w:val="bullet"/>
      <w:lvlText w:val="●"/>
      <w:lvlJc w:val="left"/>
      <w:pPr>
        <w:ind w:left="2880" w:hanging="360"/>
      </w:pPr>
    </w:lvl>
    <w:lvl w:ilvl="4" w:tplc="E12A86E8">
      <w:start w:val="1"/>
      <w:numFmt w:val="bullet"/>
      <w:lvlText w:val="○"/>
      <w:lvlJc w:val="left"/>
      <w:pPr>
        <w:ind w:left="3600" w:hanging="360"/>
      </w:pPr>
    </w:lvl>
    <w:lvl w:ilvl="5" w:tplc="11ECF26C">
      <w:start w:val="1"/>
      <w:numFmt w:val="bullet"/>
      <w:lvlText w:val="■"/>
      <w:lvlJc w:val="left"/>
      <w:pPr>
        <w:ind w:left="4320" w:hanging="360"/>
      </w:pPr>
    </w:lvl>
    <w:lvl w:ilvl="6" w:tplc="C472DC6C">
      <w:start w:val="1"/>
      <w:numFmt w:val="bullet"/>
      <w:lvlText w:val="●"/>
      <w:lvlJc w:val="left"/>
      <w:pPr>
        <w:ind w:left="5040" w:hanging="360"/>
      </w:pPr>
    </w:lvl>
    <w:lvl w:ilvl="7" w:tplc="A5FAE4B0">
      <w:start w:val="1"/>
      <w:numFmt w:val="bullet"/>
      <w:lvlText w:val="●"/>
      <w:lvlJc w:val="left"/>
      <w:pPr>
        <w:ind w:left="5760" w:hanging="360"/>
      </w:pPr>
    </w:lvl>
    <w:lvl w:ilvl="8" w:tplc="B3E28588">
      <w:start w:val="1"/>
      <w:numFmt w:val="bullet"/>
      <w:lvlText w:val="●"/>
      <w:lvlJc w:val="left"/>
      <w:pPr>
        <w:ind w:left="6480" w:hanging="360"/>
      </w:pPr>
    </w:lvl>
  </w:abstractNum>
  <w:abstractNum w:abstractNumId="2" w15:restartNumberingAfterBreak="0">
    <w:nsid w:val="575B76DD"/>
    <w:multiLevelType w:val="hybridMultilevel"/>
    <w:tmpl w:val="8494B998"/>
    <w:lvl w:ilvl="0" w:tplc="A50A1E28">
      <w:start w:val="1"/>
      <w:numFmt w:val="bullet"/>
      <w:lvlText w:val="•"/>
      <w:lvlJc w:val="left"/>
      <w:pPr>
        <w:ind w:left="460" w:hanging="260"/>
      </w:pPr>
    </w:lvl>
    <w:lvl w:ilvl="1" w:tplc="6A1E8482">
      <w:start w:val="1"/>
      <w:numFmt w:val="bullet"/>
      <w:lvlText w:val="◦"/>
      <w:lvlJc w:val="left"/>
      <w:pPr>
        <w:ind w:left="820" w:hanging="260"/>
      </w:pPr>
    </w:lvl>
    <w:lvl w:ilvl="2" w:tplc="EF927788">
      <w:numFmt w:val="decimal"/>
      <w:lvlText w:val=""/>
      <w:lvlJc w:val="left"/>
    </w:lvl>
    <w:lvl w:ilvl="3" w:tplc="3FBA12FC">
      <w:numFmt w:val="decimal"/>
      <w:lvlText w:val=""/>
      <w:lvlJc w:val="left"/>
    </w:lvl>
    <w:lvl w:ilvl="4" w:tplc="9EFCBD4A">
      <w:numFmt w:val="decimal"/>
      <w:lvlText w:val=""/>
      <w:lvlJc w:val="left"/>
    </w:lvl>
    <w:lvl w:ilvl="5" w:tplc="2F6CAB6A">
      <w:numFmt w:val="decimal"/>
      <w:lvlText w:val=""/>
      <w:lvlJc w:val="left"/>
    </w:lvl>
    <w:lvl w:ilvl="6" w:tplc="9360426C">
      <w:numFmt w:val="decimal"/>
      <w:lvlText w:val=""/>
      <w:lvlJc w:val="left"/>
    </w:lvl>
    <w:lvl w:ilvl="7" w:tplc="8B9C47C4">
      <w:numFmt w:val="decimal"/>
      <w:lvlText w:val=""/>
      <w:lvlJc w:val="left"/>
    </w:lvl>
    <w:lvl w:ilvl="8" w:tplc="AEC2F7B2">
      <w:numFmt w:val="decimal"/>
      <w:lvlText w:val=""/>
      <w:lvlJc w:val="left"/>
    </w:lvl>
  </w:abstractNum>
  <w:num w:numId="1" w16cid:durableId="870459572">
    <w:abstractNumId w:val="1"/>
    <w:lvlOverride w:ilvl="0">
      <w:startOverride w:val="1"/>
    </w:lvlOverride>
  </w:num>
  <w:num w:numId="2" w16cid:durableId="1152869486">
    <w:abstractNumId w:val="2"/>
    <w:lvlOverride w:ilvl="0">
      <w:startOverride w:val="1"/>
    </w:lvlOverride>
  </w:num>
  <w:num w:numId="3" w16cid:durableId="19367473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3E9"/>
    <w:rsid w:val="00125E3A"/>
    <w:rsid w:val="001A67FE"/>
    <w:rsid w:val="00475ED8"/>
    <w:rsid w:val="007903E9"/>
    <w:rsid w:val="00B26FDD"/>
    <w:rsid w:val="00CB3585"/>
    <w:rsid w:val="00EC5204"/>
    <w:rsid w:val="00F76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4B624"/>
  <w15:docId w15:val="{B34F21E5-DB1C-4C52-9391-3EB168CB7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1598</Words>
  <Characters>9109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DHUNESHWARAN V</cp:lastModifiedBy>
  <cp:revision>2</cp:revision>
  <dcterms:created xsi:type="dcterms:W3CDTF">2026-08-06T06:15:00Z</dcterms:created>
  <dcterms:modified xsi:type="dcterms:W3CDTF">2026-08-06T06:15:00Z</dcterms:modified>
</cp:coreProperties>
</file>