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F557E" w:rsidRDefault="00CF557E" w:rsidP="00612DEA">
      <w:pPr>
        <w:pStyle w:val="Heading1"/>
      </w:pPr>
      <w:bookmarkStart w:id="0" w:name="_Toc183272640"/>
      <w:bookmarkStart w:id="1" w:name="_Toc184925675"/>
      <w:r>
        <w:t>Glossary</w:t>
      </w:r>
      <w:bookmarkEnd w:id="0"/>
      <w:bookmarkEnd w:id="1"/>
    </w:p>
    <w:p w:rsidR="00CF557E" w:rsidRPr="00D56AC7" w:rsidRDefault="00CF557E" w:rsidP="00D56AC7">
      <w:pPr>
        <w:pStyle w:val="Glossery"/>
      </w:pPr>
      <w:r w:rsidRPr="00D56AC7">
        <w:rPr>
          <w:b/>
        </w:rPr>
        <w:t>Adiabatic cooling</w:t>
      </w:r>
      <w:r w:rsidRPr="00D56AC7">
        <w:t xml:space="preserve"> - This is </w:t>
      </w:r>
      <w:r>
        <w:t>b</w:t>
      </w:r>
      <w:r w:rsidRPr="00D56AC7">
        <w:t xml:space="preserve">est described as conservation of energy effect. </w:t>
      </w:r>
      <w:r>
        <w:t>A fluid's total internal energy remains constant when it expands. Temperature is a measure of fluid energy per unit volume. The total energy remains the same when the volume of a fluid expands. Therefore, the energy/unit volume decreases reducing the fluid's temperature. The process is reversable.</w:t>
      </w:r>
    </w:p>
    <w:p w:rsidR="00CF557E" w:rsidRPr="00144F87" w:rsidRDefault="00CF557E" w:rsidP="00D8556F">
      <w:pPr>
        <w:ind w:left="432" w:hanging="432"/>
      </w:pPr>
      <w:r>
        <w:rPr>
          <w:b/>
        </w:rPr>
        <w:t xml:space="preserve">Anus - </w:t>
      </w:r>
      <w:r>
        <w:t>The discharge port of a tornado.</w:t>
      </w:r>
    </w:p>
    <w:p w:rsidR="00CF557E" w:rsidRDefault="00CF557E" w:rsidP="00D56AC7">
      <w:pPr>
        <w:pStyle w:val="Glossery"/>
      </w:pPr>
      <w:r>
        <w:rPr>
          <w:b/>
        </w:rPr>
        <w:t xml:space="preserve">Atlantic Atmospheric Circulation (AAC) - </w:t>
      </w:r>
      <w:r w:rsidRPr="00821E1D">
        <w:t xml:space="preserve">The </w:t>
      </w:r>
      <w:r>
        <w:t xml:space="preserve">clockwise </w:t>
      </w:r>
      <w:r w:rsidRPr="00821E1D">
        <w:t>c</w:t>
      </w:r>
      <w:r>
        <w:t>i</w:t>
      </w:r>
      <w:r w:rsidRPr="00821E1D">
        <w:t>r</w:t>
      </w:r>
      <w:r>
        <w:t>culation of air over the Atlantic Ocean due to TWF.</w:t>
      </w:r>
    </w:p>
    <w:p w:rsidR="00CF557E" w:rsidRDefault="00CF557E" w:rsidP="00D8556F">
      <w:pPr>
        <w:ind w:left="432" w:hanging="432"/>
      </w:pPr>
      <w:r w:rsidRPr="007520B0">
        <w:rPr>
          <w:b/>
        </w:rPr>
        <w:t>Atlantic Oceanic Circulation (AOC)</w:t>
      </w:r>
      <w:r>
        <w:t xml:space="preserve"> - The clockwise circulation of the Atlantic Ocean due to TWF.</w:t>
      </w:r>
    </w:p>
    <w:p w:rsidR="00CF557E" w:rsidRPr="00423DDC" w:rsidRDefault="00CF557E" w:rsidP="00D8556F">
      <w:pPr>
        <w:ind w:left="432" w:hanging="432"/>
        <w:rPr>
          <w:i/>
        </w:rPr>
      </w:pPr>
      <w:r w:rsidRPr="008B50F7">
        <w:rPr>
          <w:b/>
        </w:rPr>
        <w:t>Centrifitate</w:t>
      </w:r>
      <w:r>
        <w:t xml:space="preserve"> [sen-trif-uh-teyt] </w:t>
      </w:r>
      <w:r w:rsidRPr="00423DDC">
        <w:rPr>
          <w:i/>
        </w:rPr>
        <w:t>verb (used with object),</w:t>
      </w:r>
    </w:p>
    <w:p w:rsidR="00CF557E" w:rsidRDefault="00CF557E" w:rsidP="00D8556F">
      <w:pPr>
        <w:ind w:left="432" w:hanging="432"/>
      </w:pPr>
      <w:r>
        <w:t>To move or force a fluid into ordered movement as determined by the fluid's density:</w:t>
      </w:r>
    </w:p>
    <w:p w:rsidR="00CF557E" w:rsidRDefault="00CF557E" w:rsidP="00D8556F">
      <w:pPr>
        <w:ind w:left="432" w:hanging="432"/>
      </w:pPr>
      <w:r>
        <w:t>To move a substance with a force proportional to its density.</w:t>
      </w:r>
    </w:p>
    <w:p w:rsidR="00CF557E" w:rsidRPr="00423DDC" w:rsidRDefault="00CF557E" w:rsidP="00D8556F">
      <w:pPr>
        <w:ind w:left="432" w:hanging="432"/>
        <w:rPr>
          <w:i/>
        </w:rPr>
      </w:pPr>
      <w:r w:rsidRPr="00423DDC">
        <w:rPr>
          <w:i/>
        </w:rPr>
        <w:t>verb (used without object)</w:t>
      </w:r>
    </w:p>
    <w:p w:rsidR="00CF557E" w:rsidRDefault="00CF557E" w:rsidP="00D8556F">
      <w:pPr>
        <w:ind w:left="432" w:hanging="432"/>
      </w:pPr>
      <w:r>
        <w:t>3.  To arouse or attempt to public interest of persons according to intellectual density.</w:t>
      </w:r>
    </w:p>
    <w:p w:rsidR="00CF557E" w:rsidRDefault="00CF557E" w:rsidP="00D8556F">
      <w:pPr>
        <w:ind w:left="432" w:hanging="432"/>
      </w:pPr>
      <w:r w:rsidRPr="00D0746F">
        <w:rPr>
          <w:b/>
        </w:rPr>
        <w:t>differential density</w:t>
      </w:r>
      <w:r>
        <w:rPr>
          <w:b/>
        </w:rPr>
        <w:t xml:space="preserve"> - </w:t>
      </w:r>
      <w:r>
        <w:t>When comparing two packets of air t</w:t>
      </w:r>
      <w:r w:rsidRPr="00D0746F">
        <w:t xml:space="preserve">he </w:t>
      </w:r>
      <w:r>
        <w:t xml:space="preserve">differential ratio is the difference in density of the two ratios divided by the smaller air density. </w:t>
      </w:r>
    </w:p>
    <w:p w:rsidR="00CF557E" w:rsidRPr="00D0746F" w:rsidRDefault="00CF557E" w:rsidP="00D8556F">
      <w:pPr>
        <w:ind w:left="432" w:hanging="432"/>
        <w:rPr>
          <w:b/>
        </w:rPr>
      </w:pPr>
      <m:oMathPara>
        <m:oMath>
          <m:r>
            <m:rPr>
              <m:sty m:val="bi"/>
            </m:rPr>
            <w:rPr>
              <w:rFonts w:ascii="Cambria Math" w:eastAsiaTheme="minorEastAsia" w:hAnsi="Cambria Math"/>
            </w:rPr>
            <m:t>if</m:t>
          </m:r>
          <m:sSub>
            <m:sSubPr>
              <m:ctrlPr>
                <w:rPr>
                  <w:rFonts w:ascii="Cambria Math" w:hAnsi="Cambria Math"/>
                  <w:b/>
                  <w:i/>
                </w:rPr>
              </m:ctrlPr>
            </m:sSubPr>
            <m:e>
              <m:r>
                <m:rPr>
                  <m:sty m:val="bi"/>
                </m:rPr>
                <w:rPr>
                  <w:rFonts w:ascii="Cambria Math" w:hAnsi="Cambria Math"/>
                </w:rPr>
                <m:t>ρ</m:t>
              </m:r>
            </m:e>
            <m:sub>
              <m:r>
                <m:rPr>
                  <m:sty m:val="bi"/>
                </m:rPr>
                <w:rPr>
                  <w:rFonts w:ascii="Cambria Math" w:hAnsi="Cambria Math"/>
                </w:rPr>
                <m:t>1</m:t>
              </m:r>
            </m:sub>
          </m:sSub>
          <m:r>
            <m:rPr>
              <m:sty m:val="bi"/>
            </m:rPr>
            <w:rPr>
              <w:rFonts w:ascii="Cambria Math" w:eastAsiaTheme="minorEastAsia" w:hAnsi="Cambria Math"/>
            </w:rPr>
            <m:t>&gt;</m:t>
          </m:r>
          <m:sSub>
            <m:sSubPr>
              <m:ctrlPr>
                <w:rPr>
                  <w:rFonts w:ascii="Cambria Math" w:hAnsi="Cambria Math"/>
                  <w:b/>
                  <w:i/>
                </w:rPr>
              </m:ctrlPr>
            </m:sSubPr>
            <m:e>
              <m:r>
                <m:rPr>
                  <m:sty m:val="bi"/>
                </m:rPr>
                <w:rPr>
                  <w:rFonts w:ascii="Cambria Math" w:hAnsi="Cambria Math"/>
                </w:rPr>
                <m:t>ρ</m:t>
              </m:r>
            </m:e>
            <m:sub>
              <m:r>
                <m:rPr>
                  <m:sty m:val="bi"/>
                </m:rPr>
                <w:rPr>
                  <w:rFonts w:ascii="Cambria Math" w:hAnsi="Cambria Math"/>
                </w:rPr>
                <m:t>2</m:t>
              </m:r>
            </m:sub>
          </m:sSub>
          <m:r>
            <m:rPr>
              <m:sty m:val="bi"/>
            </m:rPr>
            <w:rPr>
              <w:rFonts w:ascii="Cambria Math" w:hAnsi="Cambria Math"/>
            </w:rPr>
            <m:t xml:space="preserve"> then </m:t>
          </m:r>
          <m:f>
            <m:fPr>
              <m:ctrlPr>
                <w:rPr>
                  <w:rFonts w:ascii="Cambria Math" w:eastAsiaTheme="minorEastAsia" w:hAnsi="Cambria Math"/>
                  <w:b/>
                  <w:i/>
                </w:rPr>
              </m:ctrlPr>
            </m:fPr>
            <m:num>
              <m:sSub>
                <m:sSubPr>
                  <m:ctrlPr>
                    <w:rPr>
                      <w:rFonts w:ascii="Cambria Math" w:hAnsi="Cambria Math"/>
                      <w:b/>
                      <w:i/>
                    </w:rPr>
                  </m:ctrlPr>
                </m:sSubPr>
                <m:e>
                  <m:r>
                    <m:rPr>
                      <m:sty m:val="bi"/>
                    </m:rPr>
                    <w:rPr>
                      <w:rFonts w:ascii="Cambria Math" w:hAnsi="Cambria Math"/>
                    </w:rPr>
                    <m:t>ρ</m:t>
                  </m:r>
                </m:e>
                <m:sub>
                  <m:r>
                    <m:rPr>
                      <m:sty m:val="bi"/>
                    </m:rPr>
                    <w:rPr>
                      <w:rFonts w:ascii="Cambria Math" w:hAnsi="Cambria Math"/>
                    </w:rPr>
                    <m:t>1</m:t>
                  </m:r>
                </m:sub>
              </m:sSub>
              <m:r>
                <m:rPr>
                  <m:sty m:val="bi"/>
                </m:rPr>
                <w:rPr>
                  <w:rFonts w:ascii="Cambria Math" w:hAnsi="Cambria Math"/>
                </w:rPr>
                <m:t>-</m:t>
              </m:r>
              <m:sSub>
                <m:sSubPr>
                  <m:ctrlPr>
                    <w:rPr>
                      <w:rFonts w:ascii="Cambria Math" w:hAnsi="Cambria Math"/>
                      <w:b/>
                      <w:i/>
                    </w:rPr>
                  </m:ctrlPr>
                </m:sSubPr>
                <m:e>
                  <m:r>
                    <m:rPr>
                      <m:sty m:val="bi"/>
                    </m:rPr>
                    <w:rPr>
                      <w:rFonts w:ascii="Cambria Math" w:hAnsi="Cambria Math"/>
                    </w:rPr>
                    <m:t>ρ</m:t>
                  </m:r>
                </m:e>
                <m:sub>
                  <m:r>
                    <m:rPr>
                      <m:sty m:val="bi"/>
                    </m:rPr>
                    <w:rPr>
                      <w:rFonts w:ascii="Cambria Math" w:hAnsi="Cambria Math"/>
                    </w:rPr>
                    <m:t>2</m:t>
                  </m:r>
                </m:sub>
              </m:sSub>
            </m:num>
            <m:den>
              <m:sSub>
                <m:sSubPr>
                  <m:ctrlPr>
                    <w:rPr>
                      <w:rFonts w:ascii="Cambria Math" w:hAnsi="Cambria Math"/>
                      <w:b/>
                      <w:i/>
                    </w:rPr>
                  </m:ctrlPr>
                </m:sSubPr>
                <m:e>
                  <m:r>
                    <m:rPr>
                      <m:sty m:val="bi"/>
                    </m:rPr>
                    <w:rPr>
                      <w:rFonts w:ascii="Cambria Math" w:hAnsi="Cambria Math"/>
                    </w:rPr>
                    <m:t>ρ</m:t>
                  </m:r>
                </m:e>
                <m:sub>
                  <m:r>
                    <m:rPr>
                      <m:sty m:val="bi"/>
                    </m:rPr>
                    <w:rPr>
                      <w:rFonts w:ascii="Cambria Math" w:hAnsi="Cambria Math"/>
                    </w:rPr>
                    <m:t>1</m:t>
                  </m:r>
                </m:sub>
              </m:sSub>
            </m:den>
          </m:f>
          <m:r>
            <m:rPr>
              <m:sty m:val="bi"/>
            </m:rPr>
            <w:rPr>
              <w:rFonts w:ascii="Cambria Math" w:eastAsiaTheme="minorEastAsia" w:hAnsi="Cambria Math"/>
            </w:rPr>
            <m:t xml:space="preserve"> </m:t>
          </m:r>
          <m:r>
            <m:rPr>
              <m:sty m:val="bi"/>
            </m:rPr>
            <w:rPr>
              <w:rFonts w:ascii="Cambria Math" w:hAnsi="Cambria Math"/>
            </w:rPr>
            <m:t xml:space="preserve">else </m:t>
          </m:r>
          <m:f>
            <m:fPr>
              <m:ctrlPr>
                <w:rPr>
                  <w:rFonts w:ascii="Cambria Math" w:eastAsiaTheme="minorEastAsia" w:hAnsi="Cambria Math"/>
                  <w:b/>
                  <w:i/>
                </w:rPr>
              </m:ctrlPr>
            </m:fPr>
            <m:num>
              <m:sSub>
                <m:sSubPr>
                  <m:ctrlPr>
                    <w:rPr>
                      <w:rFonts w:ascii="Cambria Math" w:hAnsi="Cambria Math"/>
                      <w:b/>
                      <w:i/>
                    </w:rPr>
                  </m:ctrlPr>
                </m:sSubPr>
                <m:e>
                  <m:r>
                    <m:rPr>
                      <m:sty m:val="bi"/>
                    </m:rPr>
                    <w:rPr>
                      <w:rFonts w:ascii="Cambria Math" w:hAnsi="Cambria Math"/>
                    </w:rPr>
                    <m:t>ρ</m:t>
                  </m:r>
                </m:e>
                <m:sub>
                  <m:r>
                    <m:rPr>
                      <m:sty m:val="bi"/>
                    </m:rPr>
                    <w:rPr>
                      <w:rFonts w:ascii="Cambria Math" w:hAnsi="Cambria Math"/>
                    </w:rPr>
                    <m:t>2</m:t>
                  </m:r>
                </m:sub>
              </m:sSub>
              <m:r>
                <m:rPr>
                  <m:sty m:val="bi"/>
                </m:rPr>
                <w:rPr>
                  <w:rFonts w:ascii="Cambria Math" w:hAnsi="Cambria Math"/>
                </w:rPr>
                <m:t>-</m:t>
              </m:r>
              <m:sSub>
                <m:sSubPr>
                  <m:ctrlPr>
                    <w:rPr>
                      <w:rFonts w:ascii="Cambria Math" w:hAnsi="Cambria Math"/>
                      <w:b/>
                      <w:i/>
                    </w:rPr>
                  </m:ctrlPr>
                </m:sSubPr>
                <m:e>
                  <m:r>
                    <m:rPr>
                      <m:sty m:val="bi"/>
                    </m:rPr>
                    <w:rPr>
                      <w:rFonts w:ascii="Cambria Math" w:hAnsi="Cambria Math"/>
                    </w:rPr>
                    <m:t>ρ</m:t>
                  </m:r>
                </m:e>
                <m:sub>
                  <m:r>
                    <m:rPr>
                      <m:sty m:val="bi"/>
                    </m:rPr>
                    <w:rPr>
                      <w:rFonts w:ascii="Cambria Math" w:hAnsi="Cambria Math"/>
                    </w:rPr>
                    <m:t>1</m:t>
                  </m:r>
                </m:sub>
              </m:sSub>
            </m:num>
            <m:den>
              <m:sSub>
                <m:sSubPr>
                  <m:ctrlPr>
                    <w:rPr>
                      <w:rFonts w:ascii="Cambria Math" w:hAnsi="Cambria Math"/>
                      <w:b/>
                      <w:i/>
                    </w:rPr>
                  </m:ctrlPr>
                </m:sSubPr>
                <m:e>
                  <m:r>
                    <m:rPr>
                      <m:sty m:val="bi"/>
                    </m:rPr>
                    <w:rPr>
                      <w:rFonts w:ascii="Cambria Math" w:hAnsi="Cambria Math"/>
                    </w:rPr>
                    <m:t>ρ</m:t>
                  </m:r>
                </m:e>
                <m:sub>
                  <m:r>
                    <m:rPr>
                      <m:sty m:val="bi"/>
                    </m:rPr>
                    <w:rPr>
                      <w:rFonts w:ascii="Cambria Math" w:hAnsi="Cambria Math"/>
                    </w:rPr>
                    <m:t>2</m:t>
                  </m:r>
                </m:sub>
              </m:sSub>
            </m:den>
          </m:f>
        </m:oMath>
      </m:oMathPara>
    </w:p>
    <w:p w:rsidR="00CF557E" w:rsidRDefault="00CF557E" w:rsidP="00D8556F">
      <w:pPr>
        <w:ind w:left="432" w:hanging="432"/>
      </w:pPr>
      <w:r>
        <w:t xml:space="preserve">Note: </w:t>
      </w:r>
      <w:r w:rsidRPr="006862A9">
        <w:t>The order is only important to maintain consistency in reporting.</w:t>
      </w:r>
    </w:p>
    <w:p w:rsidR="00CF557E" w:rsidRDefault="00CF557E" w:rsidP="00D8556F">
      <w:pPr>
        <w:ind w:left="432" w:hanging="432"/>
        <w:rPr>
          <w:b/>
        </w:rPr>
      </w:pPr>
      <w:r w:rsidRPr="0069199E">
        <w:rPr>
          <w:b/>
        </w:rPr>
        <w:t>glare factor</w:t>
      </w:r>
    </w:p>
    <w:p w:rsidR="00CF557E" w:rsidRPr="006862A9" w:rsidRDefault="00CF557E" w:rsidP="00D8556F">
      <w:pPr>
        <w:ind w:left="432" w:hanging="432"/>
      </w:pPr>
      <w:r>
        <w:rPr>
          <w:noProof/>
        </w:rPr>
        <w:drawing>
          <wp:anchor distT="0" distB="0" distL="114300" distR="114300" simplePos="0" relativeHeight="251665408" behindDoc="0" locked="0" layoutInCell="1" allowOverlap="1">
            <wp:simplePos x="0" y="0"/>
            <wp:positionH relativeFrom="column">
              <wp:posOffset>2694011</wp:posOffset>
            </wp:positionH>
            <wp:positionV relativeFrom="paragraph">
              <wp:posOffset>0</wp:posOffset>
            </wp:positionV>
            <wp:extent cx="3201822" cy="2402006"/>
            <wp:effectExtent l="19050" t="0" r="0" b="0"/>
            <wp:wrapSquare wrapText="bothSides"/>
            <wp:docPr id="1" name="Picture 79" descr="Water_reflectivit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ter_reflectivity.jpg"/>
                    <pic:cNvPicPr/>
                  </pic:nvPicPr>
                  <pic:blipFill>
                    <a:blip r:embed="rId4" cstate="print"/>
                    <a:stretch>
                      <a:fillRect/>
                    </a:stretch>
                  </pic:blipFill>
                  <pic:spPr>
                    <a:xfrm>
                      <a:off x="0" y="0"/>
                      <a:ext cx="3201822" cy="2402006"/>
                    </a:xfrm>
                    <a:prstGeom prst="rect">
                      <a:avLst/>
                    </a:prstGeom>
                  </pic:spPr>
                </pic:pic>
              </a:graphicData>
            </a:graphic>
          </wp:anchor>
        </w:drawing>
      </w:r>
      <w:r w:rsidRPr="0069199E">
        <w:t>When</w:t>
      </w:r>
      <w:r>
        <w:t xml:space="preserve"> light impinges on water surfaces, it reflects according to the angle of incidence. A chart is provided. "Incident angle from normal" means the angle from vertical or simply angle of incidence. This work refers to an angle of incidence of 48 degrees, which is apparently some type of standard. While this chart is helpful, it is for a single color of light. Fortunately, a precise measurement is not necessary for this work so I'll use this chart as the standard. If you want to get more specific, the sun emits green light at about 510nm after the low bandpass characteristic of atmospheric attenuation is considered. .  </w:t>
      </w:r>
    </w:p>
    <w:p w:rsidR="00CF557E" w:rsidRDefault="00CF557E" w:rsidP="00D8556F">
      <w:pPr>
        <w:ind w:left="432" w:hanging="432"/>
      </w:pPr>
      <w:r w:rsidRPr="008B50F7">
        <w:rPr>
          <w:b/>
        </w:rPr>
        <w:t>shiggles</w:t>
      </w:r>
      <w:r>
        <w:t xml:space="preserve"> - Sh*ts and giggles - an old red neck phrase.</w:t>
      </w:r>
    </w:p>
    <w:p w:rsidR="00CF557E" w:rsidRDefault="00CF557E" w:rsidP="00480C18">
      <w:pPr>
        <w:ind w:left="432" w:hanging="432"/>
      </w:pPr>
      <w:r w:rsidRPr="00480C18">
        <w:rPr>
          <w:b/>
        </w:rPr>
        <w:t xml:space="preserve">Oceanic Atmospheric Circulation (OAC) </w:t>
      </w:r>
      <w:r>
        <w:t>- OAC is t</w:t>
      </w:r>
      <w:r w:rsidRPr="00821E1D">
        <w:t xml:space="preserve">he </w:t>
      </w:r>
      <w:r>
        <w:t xml:space="preserve">clockwise </w:t>
      </w:r>
      <w:r w:rsidRPr="00821E1D">
        <w:t>c</w:t>
      </w:r>
      <w:r>
        <w:t>i</w:t>
      </w:r>
      <w:r w:rsidRPr="00821E1D">
        <w:t>r</w:t>
      </w:r>
      <w:r>
        <w:t>culation of air over oceans in the Northern Hemisphere and counter-clockwise circulation over oceans in the Southern Hemisphere the Pacific Ocean due to TWF.</w:t>
      </w:r>
    </w:p>
    <w:p w:rsidR="00CF557E" w:rsidRDefault="00CF557E" w:rsidP="00F67A8F">
      <w:pPr>
        <w:ind w:left="432" w:hanging="432"/>
      </w:pPr>
      <w:r w:rsidRPr="00F67A8F">
        <w:rPr>
          <w:b/>
        </w:rPr>
        <w:t>Oceanic Water Circulation (OWC)</w:t>
      </w:r>
      <w:r>
        <w:t xml:space="preserve"> - OWC is the clockwise </w:t>
      </w:r>
      <w:r w:rsidRPr="00821E1D">
        <w:t>c</w:t>
      </w:r>
      <w:r>
        <w:t>i</w:t>
      </w:r>
      <w:r w:rsidRPr="00821E1D">
        <w:t>r</w:t>
      </w:r>
      <w:r>
        <w:t>culation of ocean water in the Northern Hemisphere and counter-clockwise circulation over oceans in the Southern Hemisphere the Pacific Ocean due to wind effects.</w:t>
      </w:r>
    </w:p>
    <w:p w:rsidR="00CF557E" w:rsidRDefault="00CF557E" w:rsidP="00D8556F">
      <w:pPr>
        <w:ind w:left="432" w:hanging="432"/>
      </w:pPr>
      <w:r>
        <w:rPr>
          <w:b/>
        </w:rPr>
        <w:t xml:space="preserve">Northern Pacific Atmospheric Circulation (NPAC) </w:t>
      </w:r>
      <w:r w:rsidRPr="00480C18">
        <w:t>-</w:t>
      </w:r>
      <w:r>
        <w:t xml:space="preserve"> </w:t>
      </w:r>
      <w:r w:rsidRPr="00480C18">
        <w:t xml:space="preserve">N PAC is </w:t>
      </w:r>
      <w:r>
        <w:t>t</w:t>
      </w:r>
      <w:r w:rsidRPr="00821E1D">
        <w:t xml:space="preserve">he </w:t>
      </w:r>
      <w:r>
        <w:t xml:space="preserve">clockwise </w:t>
      </w:r>
      <w:r w:rsidRPr="00821E1D">
        <w:t>c</w:t>
      </w:r>
      <w:r>
        <w:t>i</w:t>
      </w:r>
      <w:r w:rsidRPr="00821E1D">
        <w:t>r</w:t>
      </w:r>
      <w:r>
        <w:t>culation of air over the Northern Pacific Ocean due to TWF.</w:t>
      </w:r>
    </w:p>
    <w:p w:rsidR="00CF557E" w:rsidRDefault="00CF557E" w:rsidP="00480C18">
      <w:pPr>
        <w:ind w:left="432" w:hanging="432"/>
      </w:pPr>
      <w:r>
        <w:rPr>
          <w:b/>
        </w:rPr>
        <w:t xml:space="preserve">Southern Pacific Atmospheric Circulation (SPAC) </w:t>
      </w:r>
      <w:r w:rsidRPr="00480C18">
        <w:t xml:space="preserve">- </w:t>
      </w:r>
      <w:r>
        <w:t>S</w:t>
      </w:r>
      <w:r w:rsidRPr="00480C18">
        <w:t xml:space="preserve">PAC is </w:t>
      </w:r>
      <w:r>
        <w:t>t</w:t>
      </w:r>
      <w:r w:rsidRPr="00821E1D">
        <w:t xml:space="preserve">he </w:t>
      </w:r>
      <w:r>
        <w:t xml:space="preserve">counter clockwise </w:t>
      </w:r>
      <w:r w:rsidRPr="00821E1D">
        <w:t>c</w:t>
      </w:r>
      <w:r>
        <w:t>i</w:t>
      </w:r>
      <w:r w:rsidRPr="00821E1D">
        <w:t>r</w:t>
      </w:r>
      <w:r>
        <w:t>culation of air over the Northern Pacific Ocean due to TWF.</w:t>
      </w:r>
    </w:p>
    <w:p w:rsidR="00CF557E" w:rsidRDefault="00CF557E" w:rsidP="00D8556F">
      <w:pPr>
        <w:ind w:left="432" w:hanging="432"/>
      </w:pPr>
      <w:r>
        <w:rPr>
          <w:b/>
        </w:rPr>
        <w:t xml:space="preserve">Southern Pacific Oceanic Circulation (SPOC) - </w:t>
      </w:r>
      <w:r w:rsidRPr="00821E1D">
        <w:t xml:space="preserve">The </w:t>
      </w:r>
      <w:r>
        <w:t xml:space="preserve">counter-clockwise </w:t>
      </w:r>
      <w:r w:rsidRPr="00821E1D">
        <w:t>c</w:t>
      </w:r>
      <w:r>
        <w:t>i</w:t>
      </w:r>
      <w:r w:rsidRPr="00821E1D">
        <w:t>r</w:t>
      </w:r>
      <w:r>
        <w:t>culation of Pacific Ocean water due to wind effects.</w:t>
      </w:r>
    </w:p>
    <w:p w:rsidR="00CF557E" w:rsidRDefault="00CF557E" w:rsidP="00480C18">
      <w:pPr>
        <w:ind w:left="432" w:hanging="432"/>
      </w:pPr>
      <w:r w:rsidRPr="0080592D">
        <w:rPr>
          <w:b/>
        </w:rPr>
        <w:t>Solar equator</w:t>
      </w:r>
      <w:r>
        <w:t xml:space="preserve"> - The latitude at which the sun is overhead at 12:00 noon local time. </w:t>
      </w:r>
    </w:p>
    <w:p w:rsidR="00CF557E" w:rsidRPr="00D8556F" w:rsidRDefault="00CF557E" w:rsidP="00D8556F"/>
    <w:p w:rsidR="00CF557E" w:rsidRDefault="00CF557E" w:rsidP="00760EFA"/>
    <w:p w:rsidR="00CF557E" w:rsidRPr="00760EFA" w:rsidRDefault="00CF557E" w:rsidP="00F67A8F">
      <w:pPr>
        <w:pStyle w:val="Heading1"/>
      </w:pPr>
      <w:bookmarkStart w:id="2" w:name="_Toc184925676"/>
      <w:r>
        <w:t>Footnotes</w:t>
      </w:r>
      <w:bookmarkEnd w:id="2"/>
    </w:p>
    <w:p w:rsidR="00CF557E" w:rsidRDefault="00CF557E" w:rsidP="00F67A8F">
      <w:pPr>
        <w:pStyle w:val="Heading1"/>
        <w:sectPr w:rsidR="00CF557E" w:rsidSect="00E965FC">
          <w:type w:val="continuous"/>
          <w:pgSz w:w="12240" w:h="15840"/>
          <w:pgMar w:top="1440" w:right="1440" w:bottom="1440" w:left="1440" w:header="720" w:footer="720" w:gutter="0"/>
          <w:cols w:space="720"/>
          <w:docGrid w:linePitch="360"/>
        </w:sectPr>
      </w:pPr>
    </w:p>
    <w:p w:rsidR="00070227" w:rsidRDefault="00070227"/>
    <w:sectPr w:rsidR="00070227" w:rsidSect="00717FA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 w:name="Cambria Math">
    <w:panose1 w:val="02040503050406030204"/>
    <w:charset w:val="00"/>
    <w:family w:val="roman"/>
    <w:pitch w:val="variable"/>
    <w:sig w:usb0="A00002EF" w:usb1="420020E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20"/>
  <w:characterSpacingControl w:val="doNotCompress"/>
  <w:compat/>
  <w:rsids>
    <w:rsidRoot w:val="00322EBC"/>
    <w:rsid w:val="00070227"/>
    <w:rsid w:val="000E6F9C"/>
    <w:rsid w:val="00236C5C"/>
    <w:rsid w:val="00322EBC"/>
    <w:rsid w:val="005873B1"/>
    <w:rsid w:val="005F3E12"/>
    <w:rsid w:val="005F7C15"/>
    <w:rsid w:val="00612DEA"/>
    <w:rsid w:val="00717FA6"/>
    <w:rsid w:val="00952762"/>
    <w:rsid w:val="00AB47FE"/>
    <w:rsid w:val="00B20B97"/>
    <w:rsid w:val="00B35697"/>
    <w:rsid w:val="00B81042"/>
    <w:rsid w:val="00CF557E"/>
    <w:rsid w:val="00D24661"/>
    <w:rsid w:val="00D263B7"/>
    <w:rsid w:val="00D8556F"/>
    <w:rsid w:val="00E156DF"/>
    <w:rsid w:val="00E7089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2DEA"/>
    <w:pPr>
      <w:spacing w:after="0" w:line="360" w:lineRule="auto"/>
      <w:ind w:firstLine="432"/>
    </w:pPr>
    <w:rPr>
      <w:rFonts w:ascii="Times New Roman" w:hAnsi="Times New Roman"/>
      <w:sz w:val="24"/>
    </w:rPr>
  </w:style>
  <w:style w:type="paragraph" w:styleId="Heading1">
    <w:name w:val="heading 1"/>
    <w:basedOn w:val="Normal"/>
    <w:next w:val="Normal"/>
    <w:link w:val="Heading1Char"/>
    <w:autoRedefine/>
    <w:uiPriority w:val="9"/>
    <w:qFormat/>
    <w:rsid w:val="00612DEA"/>
    <w:pPr>
      <w:keepNext/>
      <w:keepLines/>
      <w:spacing w:before="60"/>
      <w:ind w:left="432" w:hanging="432"/>
      <w:jc w:val="center"/>
      <w:outlineLvl w:val="0"/>
    </w:pPr>
    <w:rPr>
      <w:rFonts w:eastAsiaTheme="majorEastAsia" w:cstheme="majorBidi"/>
      <w:b/>
      <w:bCs/>
      <w:color w:val="000000" w:themeColor="text1"/>
      <w:sz w:val="32"/>
      <w:szCs w:val="28"/>
    </w:rPr>
  </w:style>
  <w:style w:type="paragraph" w:styleId="Heading2">
    <w:name w:val="heading 2"/>
    <w:basedOn w:val="Normal"/>
    <w:next w:val="Normal"/>
    <w:link w:val="Heading2Char"/>
    <w:autoRedefine/>
    <w:uiPriority w:val="9"/>
    <w:unhideWhenUsed/>
    <w:qFormat/>
    <w:rsid w:val="00612DEA"/>
    <w:pPr>
      <w:keepNext/>
      <w:keepLines/>
      <w:spacing w:before="60"/>
      <w:ind w:left="432" w:hanging="432"/>
      <w:outlineLvl w:val="1"/>
    </w:pPr>
    <w:rPr>
      <w:rFonts w:eastAsiaTheme="majorEastAsia" w:cstheme="majorBidi"/>
      <w:b/>
      <w:bCs/>
      <w:color w:val="000000" w:themeColor="text1"/>
      <w:sz w:val="28"/>
      <w:szCs w:val="26"/>
    </w:rPr>
  </w:style>
  <w:style w:type="paragraph" w:styleId="Heading3">
    <w:name w:val="heading 3"/>
    <w:basedOn w:val="Normal"/>
    <w:next w:val="Normal"/>
    <w:link w:val="Heading3Char"/>
    <w:autoRedefine/>
    <w:uiPriority w:val="9"/>
    <w:semiHidden/>
    <w:unhideWhenUsed/>
    <w:qFormat/>
    <w:rsid w:val="00612DEA"/>
    <w:pPr>
      <w:keepNext/>
      <w:keepLines/>
      <w:spacing w:before="60"/>
      <w:ind w:left="432" w:hanging="432"/>
      <w:outlineLvl w:val="2"/>
    </w:pPr>
    <w:rPr>
      <w:rFonts w:eastAsiaTheme="majorEastAsia" w:cstheme="majorBidi"/>
      <w:b/>
      <w:bCs/>
      <w:color w:val="000000" w:themeColor="text1"/>
    </w:rPr>
  </w:style>
  <w:style w:type="paragraph" w:styleId="Heading4">
    <w:name w:val="heading 4"/>
    <w:basedOn w:val="Normal"/>
    <w:next w:val="Normal"/>
    <w:link w:val="Heading4Char"/>
    <w:autoRedefine/>
    <w:uiPriority w:val="9"/>
    <w:semiHidden/>
    <w:unhideWhenUsed/>
    <w:qFormat/>
    <w:rsid w:val="00612DEA"/>
    <w:pPr>
      <w:keepNext/>
      <w:keepLines/>
      <w:spacing w:before="60"/>
      <w:ind w:left="432" w:hanging="432"/>
      <w:outlineLvl w:val="3"/>
    </w:pPr>
    <w:rPr>
      <w:rFonts w:eastAsiaTheme="majorEastAsia" w:cstheme="majorBidi"/>
      <w:b/>
      <w:bCs/>
      <w:i/>
      <w:iCs/>
      <w:color w:val="000000" w:themeColor="text1"/>
    </w:rPr>
  </w:style>
  <w:style w:type="paragraph" w:styleId="Heading5">
    <w:name w:val="heading 5"/>
    <w:basedOn w:val="Normal"/>
    <w:next w:val="Normal"/>
    <w:link w:val="Heading5Char"/>
    <w:autoRedefine/>
    <w:uiPriority w:val="9"/>
    <w:semiHidden/>
    <w:unhideWhenUsed/>
    <w:qFormat/>
    <w:rsid w:val="00612DEA"/>
    <w:pPr>
      <w:keepNext/>
      <w:keepLines/>
      <w:spacing w:before="60"/>
      <w:ind w:left="432" w:hanging="432"/>
      <w:outlineLvl w:val="4"/>
    </w:pPr>
    <w:rPr>
      <w:rFonts w:eastAsiaTheme="majorEastAsia" w:cstheme="majorBidi"/>
      <w: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2DEA"/>
    <w:rPr>
      <w:rFonts w:ascii="Times New Roman" w:eastAsiaTheme="majorEastAsia" w:hAnsi="Times New Roman" w:cstheme="majorBidi"/>
      <w:b/>
      <w:bCs/>
      <w:color w:val="000000" w:themeColor="text1"/>
      <w:sz w:val="32"/>
      <w:szCs w:val="28"/>
    </w:rPr>
  </w:style>
  <w:style w:type="paragraph" w:styleId="DocumentMap">
    <w:name w:val="Document Map"/>
    <w:basedOn w:val="Normal"/>
    <w:link w:val="DocumentMapChar"/>
    <w:uiPriority w:val="99"/>
    <w:semiHidden/>
    <w:unhideWhenUsed/>
    <w:rsid w:val="00D8556F"/>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8556F"/>
    <w:rPr>
      <w:rFonts w:ascii="Tahoma" w:hAnsi="Tahoma" w:cs="Tahoma"/>
      <w:sz w:val="16"/>
      <w:szCs w:val="16"/>
    </w:rPr>
  </w:style>
  <w:style w:type="paragraph" w:styleId="BalloonText">
    <w:name w:val="Balloon Text"/>
    <w:basedOn w:val="Normal"/>
    <w:link w:val="BalloonTextChar"/>
    <w:uiPriority w:val="99"/>
    <w:semiHidden/>
    <w:unhideWhenUsed/>
    <w:rsid w:val="00D8556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556F"/>
    <w:rPr>
      <w:rFonts w:ascii="Tahoma" w:hAnsi="Tahoma" w:cs="Tahoma"/>
      <w:sz w:val="16"/>
      <w:szCs w:val="16"/>
    </w:rPr>
  </w:style>
  <w:style w:type="character" w:customStyle="1" w:styleId="Heading2Char">
    <w:name w:val="Heading 2 Char"/>
    <w:basedOn w:val="DefaultParagraphFont"/>
    <w:link w:val="Heading2"/>
    <w:uiPriority w:val="9"/>
    <w:rsid w:val="00612DEA"/>
    <w:rPr>
      <w:rFonts w:ascii="Times New Roman" w:eastAsiaTheme="majorEastAsia" w:hAnsi="Times New Roman" w:cstheme="majorBidi"/>
      <w:b/>
      <w:bCs/>
      <w:color w:val="000000" w:themeColor="text1"/>
      <w:sz w:val="28"/>
      <w:szCs w:val="26"/>
    </w:rPr>
  </w:style>
  <w:style w:type="character" w:customStyle="1" w:styleId="Heading3Char">
    <w:name w:val="Heading 3 Char"/>
    <w:basedOn w:val="DefaultParagraphFont"/>
    <w:link w:val="Heading3"/>
    <w:uiPriority w:val="9"/>
    <w:rsid w:val="00612DEA"/>
    <w:rPr>
      <w:rFonts w:ascii="Times New Roman" w:eastAsiaTheme="majorEastAsia" w:hAnsi="Times New Roman" w:cstheme="majorBidi"/>
      <w:b/>
      <w:bCs/>
      <w:color w:val="000000" w:themeColor="text1"/>
      <w:sz w:val="24"/>
    </w:rPr>
  </w:style>
  <w:style w:type="character" w:customStyle="1" w:styleId="Heading4Char">
    <w:name w:val="Heading 4 Char"/>
    <w:basedOn w:val="DefaultParagraphFont"/>
    <w:link w:val="Heading4"/>
    <w:uiPriority w:val="9"/>
    <w:rsid w:val="00612DEA"/>
    <w:rPr>
      <w:rFonts w:ascii="Times New Roman" w:eastAsiaTheme="majorEastAsia" w:hAnsi="Times New Roman" w:cstheme="majorBidi"/>
      <w:b/>
      <w:bCs/>
      <w:i/>
      <w:iCs/>
      <w:color w:val="000000" w:themeColor="text1"/>
      <w:sz w:val="24"/>
    </w:rPr>
  </w:style>
  <w:style w:type="character" w:customStyle="1" w:styleId="Heading5Char">
    <w:name w:val="Heading 5 Char"/>
    <w:basedOn w:val="DefaultParagraphFont"/>
    <w:link w:val="Heading5"/>
    <w:uiPriority w:val="9"/>
    <w:rsid w:val="00612DEA"/>
    <w:rPr>
      <w:rFonts w:ascii="Times New Roman" w:eastAsiaTheme="majorEastAsia" w:hAnsi="Times New Roman" w:cstheme="majorBidi"/>
      <w:i/>
      <w:color w:val="000000" w:themeColor="text1"/>
      <w:sz w:val="24"/>
    </w:rPr>
  </w:style>
  <w:style w:type="paragraph" w:styleId="Caption">
    <w:name w:val="caption"/>
    <w:basedOn w:val="Normal"/>
    <w:next w:val="Normal"/>
    <w:uiPriority w:val="35"/>
    <w:semiHidden/>
    <w:unhideWhenUsed/>
    <w:qFormat/>
    <w:rsid w:val="00612DEA"/>
    <w:pPr>
      <w:spacing w:after="200" w:line="240" w:lineRule="auto"/>
    </w:pPr>
    <w:rPr>
      <w:b/>
      <w:bCs/>
      <w:color w:val="4F81BD" w:themeColor="accent1"/>
      <w:sz w:val="18"/>
      <w:szCs w:val="18"/>
    </w:rPr>
  </w:style>
  <w:style w:type="character" w:styleId="Emphasis">
    <w:name w:val="Emphasis"/>
    <w:basedOn w:val="DefaultParagraphFont"/>
    <w:uiPriority w:val="20"/>
    <w:qFormat/>
    <w:rsid w:val="00612DEA"/>
    <w:rPr>
      <w:i/>
      <w:iCs/>
    </w:rPr>
  </w:style>
  <w:style w:type="paragraph" w:styleId="ListParagraph">
    <w:name w:val="List Paragraph"/>
    <w:basedOn w:val="Normal"/>
    <w:uiPriority w:val="34"/>
    <w:qFormat/>
    <w:rsid w:val="00612DEA"/>
    <w:pPr>
      <w:ind w:left="720"/>
      <w:contextualSpacing/>
    </w:pPr>
  </w:style>
  <w:style w:type="character" w:styleId="IntenseEmphasis">
    <w:name w:val="Intense Emphasis"/>
    <w:basedOn w:val="DefaultParagraphFont"/>
    <w:uiPriority w:val="21"/>
    <w:qFormat/>
    <w:rsid w:val="00612DEA"/>
    <w:rPr>
      <w:b/>
      <w:bCs/>
      <w:i/>
      <w:iCs/>
      <w:color w:val="4F81BD" w:themeColor="accent1"/>
    </w:rPr>
  </w:style>
  <w:style w:type="paragraph" w:styleId="TOCHeading">
    <w:name w:val="TOC Heading"/>
    <w:basedOn w:val="Heading1"/>
    <w:next w:val="Normal"/>
    <w:uiPriority w:val="39"/>
    <w:semiHidden/>
    <w:unhideWhenUsed/>
    <w:qFormat/>
    <w:rsid w:val="00612DEA"/>
    <w:pPr>
      <w:spacing w:before="480" w:line="276" w:lineRule="auto"/>
      <w:ind w:left="0" w:firstLine="0"/>
      <w:outlineLvl w:val="9"/>
    </w:pPr>
    <w:rPr>
      <w:rFonts w:asciiTheme="majorHAnsi" w:hAnsiTheme="majorHAnsi"/>
      <w:color w:val="365F91" w:themeColor="accent1" w:themeShade="BF"/>
      <w:sz w:val="28"/>
    </w:rPr>
  </w:style>
  <w:style w:type="paragraph" w:customStyle="1" w:styleId="Glossery">
    <w:name w:val="Glossery"/>
    <w:basedOn w:val="Normal"/>
    <w:link w:val="GlosseryChar"/>
    <w:autoRedefine/>
    <w:qFormat/>
    <w:rsid w:val="00B35697"/>
    <w:pPr>
      <w:spacing w:before="60"/>
      <w:ind w:left="432" w:hanging="432"/>
    </w:pPr>
  </w:style>
  <w:style w:type="character" w:customStyle="1" w:styleId="GlosseryChar">
    <w:name w:val="Glossery Char"/>
    <w:basedOn w:val="DefaultParagraphFont"/>
    <w:link w:val="Glossery"/>
    <w:rsid w:val="00B35697"/>
    <w:rPr>
      <w:rFonts w:ascii="Times New Roman" w:hAnsi="Times New Roman"/>
      <w:sz w:val="24"/>
    </w:rPr>
  </w:style>
</w:styles>
</file>

<file path=word/webSettings.xml><?xml version="1.0" encoding="utf-8"?>
<w:webSettings xmlns:r="http://schemas.openxmlformats.org/officeDocument/2006/relationships" xmlns:w="http://schemas.openxmlformats.org/wordprocessingml/2006/main">
  <w:optimizeForBrowser/>
  <w:pixelsPerInch w:val="12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Desktop\New%20Word%20Docu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New Word Document.dotx</Template>
  <TotalTime>2</TotalTime>
  <Pages>1</Pages>
  <Words>435</Words>
  <Characters>2485</Characters>
  <Application>Microsoft Office Word</Application>
  <DocSecurity>0</DocSecurity>
  <Lines>20</Lines>
  <Paragraphs>5</Paragraphs>
  <ScaleCrop>false</ScaleCrop>
  <Company>Hewlett-Packard Company</Company>
  <LinksUpToDate>false</LinksUpToDate>
  <CharactersWithSpaces>2915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Hunt</dc:creator>
  <cp:keywords/>
  <dc:description/>
  <cp:lastModifiedBy>David Hunt</cp:lastModifiedBy>
  <cp:revision>4</cp:revision>
  <dcterms:created xsi:type="dcterms:W3CDTF">2024-11-22T04:56:00Z</dcterms:created>
  <dcterms:modified xsi:type="dcterms:W3CDTF">2024-11-23T00:50:00Z</dcterms:modified>
</cp:coreProperties>
</file>