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0000"/>
          <w:sz w:val="26"/>
          <w:szCs w:val="26"/>
        </w:rPr>
        <w:t xml:space="preserve">SIMATS ENGINEERING (SAVEETHA SCHOOL OF ENGINEERING)</w:t>
      </w:r>
    </w:p>
    <w:p>
      <w:pPr>
        <w:spacing w:after="40"/>
        <w:jc w:val="center"/>
      </w:pPr>
      <w:r>
        <w:rPr>
          <w:b/>
          <w:bCs/>
          <w:color w:val="000000"/>
          <w:sz w:val="22"/>
          <w:szCs w:val="22"/>
        </w:rPr>
        <w:t xml:space="preserve">Department of Computer Science and Engineering</w:t>
      </w:r>
    </w:p>
    <w:p>
      <w:pPr>
        <w:spacing w:after="200"/>
        <w:jc w:val="center"/>
      </w:pPr>
      <w:r>
        <w:rPr>
          <w:b/>
          <w:bCs/>
          <w:color w:val="000000"/>
          <w:sz w:val="24"/>
          <w:szCs w:val="24"/>
        </w:rPr>
        <w:t xml:space="preserve">CO4 ASSESSMENT TOOL 1 — TEST CASE DESIGN ASSIGNMENT</w:t>
      </w:r>
    </w:p>
    <w:p>
      <w:pPr>
        <w:spacing w:after="200"/>
        <w:jc w:val="center"/>
      </w:pPr>
      <w:r>
        <w:rPr>
          <w:b/>
          <w:bCs/>
          <w:i/>
          <w:iCs/>
          <w:color w:val="000000"/>
          <w:sz w:val="22"/>
          <w:szCs w:val="22"/>
        </w:rPr>
        <w:t xml:space="preserve">Problem Statement 21: Telemedicine Platform for Virtual Doctor Consultations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single" w:color="000000" w:sz="4"/>
              <w:left w:val="single" w:color="000000" w:sz="4"/>
              <w:bottom w:val="single" w:color="000000" w:sz="4"/>
              <w:right w:val="single" w:color="000000" w:sz="4"/>
            </w:tcBorders>
            <w:shd w:fill="F2F2F2" w:color="auto" w:val="clear"/>
            <w:tcMar>
              <w:top w:type="dxa" w:w="60"/>
              <w:left w:type="dxa" w:w="80"/>
              <w:bottom w:type="dxa" w:w="60"/>
              <w:right w:type="dxa" w:w="80"/>
            </w:tcMar>
            <w:vAlign w:val="center"/>
          </w:tcPr>
          <w:p>
            <w:pPr>
              <w:jc w:val="left"/>
            </w:pPr>
            <w:r>
              <w:rPr>
                <w:b/>
                <w:bCs/>
                <w:i w:val="false"/>
                <w:iCs w:val="false"/>
                <w:color w:val="000000"/>
                <w:sz w:val="18"/>
                <w:szCs w:val="18"/>
              </w:rPr>
              <w:t xml:space="preserve">Course Code:</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CSA10 / CSA1063</w:t>
            </w:r>
          </w:p>
        </w:tc>
        <w:tc>
          <w:tcPr>
            <w:tcW w:type="dxa" w:w="2700"/>
            <w:tcBorders>
              <w:top w:val="single" w:color="000000" w:sz="4"/>
              <w:left w:val="single" w:color="000000" w:sz="4"/>
              <w:bottom w:val="single" w:color="000000" w:sz="4"/>
              <w:right w:val="single" w:color="000000" w:sz="4"/>
            </w:tcBorders>
            <w:shd w:fill="F2F2F2" w:color="auto" w:val="clear"/>
            <w:tcMar>
              <w:top w:type="dxa" w:w="60"/>
              <w:left w:type="dxa" w:w="80"/>
              <w:bottom w:type="dxa" w:w="60"/>
              <w:right w:type="dxa" w:w="80"/>
            </w:tcMar>
            <w:vAlign w:val="center"/>
          </w:tcPr>
          <w:p>
            <w:pPr>
              <w:jc w:val="left"/>
            </w:pPr>
            <w:r>
              <w:rPr>
                <w:b/>
                <w:bCs/>
                <w:i w:val="false"/>
                <w:iCs w:val="false"/>
                <w:color w:val="000000"/>
                <w:sz w:val="18"/>
                <w:szCs w:val="18"/>
              </w:rPr>
              <w:t xml:space="preserve">Course Title:</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Software Engineering</w:t>
            </w:r>
          </w:p>
        </w:tc>
      </w:tr>
      <w:tr>
        <w:tc>
          <w:tcPr>
            <w:tcW w:type="dxa" w:w="2700"/>
            <w:tcBorders>
              <w:top w:val="single" w:color="000000" w:sz="4"/>
              <w:left w:val="single" w:color="000000" w:sz="4"/>
              <w:bottom w:val="single" w:color="000000" w:sz="4"/>
              <w:right w:val="single" w:color="000000" w:sz="4"/>
            </w:tcBorders>
            <w:shd w:fill="F2F2F2" w:color="auto" w:val="clear"/>
            <w:tcMar>
              <w:top w:type="dxa" w:w="60"/>
              <w:left w:type="dxa" w:w="80"/>
              <w:bottom w:type="dxa" w:w="60"/>
              <w:right w:type="dxa" w:w="80"/>
            </w:tcMar>
            <w:vAlign w:val="center"/>
          </w:tcPr>
          <w:p>
            <w:pPr>
              <w:jc w:val="left"/>
            </w:pPr>
            <w:r>
              <w:rPr>
                <w:b/>
                <w:bCs/>
                <w:i w:val="false"/>
                <w:iCs w:val="false"/>
                <w:color w:val="000000"/>
                <w:sz w:val="18"/>
                <w:szCs w:val="18"/>
              </w:rPr>
              <w:t xml:space="preserve">CO Assessed:</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CO4</w:t>
            </w:r>
          </w:p>
        </w:tc>
        <w:tc>
          <w:tcPr>
            <w:tcW w:type="dxa" w:w="2700"/>
            <w:tcBorders>
              <w:top w:val="single" w:color="000000" w:sz="4"/>
              <w:left w:val="single" w:color="000000" w:sz="4"/>
              <w:bottom w:val="single" w:color="000000" w:sz="4"/>
              <w:right w:val="single" w:color="000000" w:sz="4"/>
            </w:tcBorders>
            <w:shd w:fill="F2F2F2" w:color="auto" w:val="clear"/>
            <w:tcMar>
              <w:top w:type="dxa" w:w="60"/>
              <w:left w:type="dxa" w:w="80"/>
              <w:bottom w:type="dxa" w:w="60"/>
              <w:right w:type="dxa" w:w="80"/>
            </w:tcMar>
            <w:vAlign w:val="center"/>
          </w:tcPr>
          <w:p>
            <w:pPr>
              <w:jc w:val="left"/>
            </w:pPr>
            <w:r>
              <w:rPr>
                <w:b/>
                <w:bCs/>
                <w:i w:val="false"/>
                <w:iCs w:val="false"/>
                <w:color w:val="000000"/>
                <w:sz w:val="18"/>
                <w:szCs w:val="18"/>
              </w:rPr>
              <w:t xml:space="preserve">Assessment:</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AT1 – Test Case Design</w:t>
            </w:r>
          </w:p>
        </w:tc>
      </w:tr>
      <w:tr>
        <w:tc>
          <w:tcPr>
            <w:tcW w:type="dxa" w:w="2700"/>
            <w:tcBorders>
              <w:top w:val="single" w:color="000000" w:sz="4"/>
              <w:left w:val="single" w:color="000000" w:sz="4"/>
              <w:bottom w:val="single" w:color="000000" w:sz="4"/>
              <w:right w:val="single" w:color="000000" w:sz="4"/>
            </w:tcBorders>
            <w:shd w:fill="F2F2F2" w:color="auto" w:val="clear"/>
            <w:tcMar>
              <w:top w:type="dxa" w:w="60"/>
              <w:left w:type="dxa" w:w="80"/>
              <w:bottom w:type="dxa" w:w="60"/>
              <w:right w:type="dxa" w:w="80"/>
            </w:tcMar>
            <w:vAlign w:val="center"/>
          </w:tcPr>
          <w:p>
            <w:pPr>
              <w:jc w:val="left"/>
            </w:pPr>
            <w:r>
              <w:rPr>
                <w:b/>
                <w:bCs/>
                <w:i w:val="false"/>
                <w:iCs w:val="false"/>
                <w:color w:val="000000"/>
                <w:sz w:val="18"/>
                <w:szCs w:val="18"/>
              </w:rPr>
              <w:t xml:space="preserve">Weightage:</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20%</w:t>
            </w:r>
          </w:p>
        </w:tc>
        <w:tc>
          <w:tcPr>
            <w:tcW w:type="dxa" w:w="2700"/>
            <w:tcBorders>
              <w:top w:val="single" w:color="000000" w:sz="4"/>
              <w:left w:val="single" w:color="000000" w:sz="4"/>
              <w:bottom w:val="single" w:color="000000" w:sz="4"/>
              <w:right w:val="single" w:color="000000" w:sz="4"/>
            </w:tcBorders>
            <w:shd w:fill="F2F2F2" w:color="auto" w:val="clear"/>
            <w:tcMar>
              <w:top w:type="dxa" w:w="60"/>
              <w:left w:type="dxa" w:w="80"/>
              <w:bottom w:type="dxa" w:w="60"/>
              <w:right w:type="dxa" w:w="80"/>
            </w:tcMar>
            <w:vAlign w:val="center"/>
          </w:tcPr>
          <w:p>
            <w:pPr>
              <w:jc w:val="left"/>
            </w:pPr>
            <w:r>
              <w:rPr>
                <w:b/>
                <w:bCs/>
                <w:i w:val="false"/>
                <w:iCs w:val="false"/>
                <w:color w:val="000000"/>
                <w:sz w:val="18"/>
                <w:szCs w:val="18"/>
              </w:rPr>
              <w:t xml:space="preserve">Total Marks:</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25</w:t>
            </w:r>
          </w:p>
        </w:tc>
      </w:tr>
      <w:tr>
        <w:tc>
          <w:tcPr>
            <w:tcW w:type="dxa" w:w="2700"/>
            <w:tcBorders>
              <w:top w:val="single" w:color="000000" w:sz="4"/>
              <w:left w:val="single" w:color="000000" w:sz="4"/>
              <w:bottom w:val="single" w:color="000000" w:sz="4"/>
              <w:right w:val="single" w:color="000000" w:sz="4"/>
            </w:tcBorders>
            <w:shd w:fill="F2F2F2" w:color="auto" w:val="clear"/>
            <w:tcMar>
              <w:top w:type="dxa" w:w="60"/>
              <w:left w:type="dxa" w:w="80"/>
              <w:bottom w:type="dxa" w:w="60"/>
              <w:right w:type="dxa" w:w="80"/>
            </w:tcMar>
            <w:vAlign w:val="center"/>
          </w:tcPr>
          <w:p>
            <w:pPr>
              <w:jc w:val="left"/>
            </w:pPr>
            <w:r>
              <w:rPr>
                <w:b/>
                <w:bCs/>
                <w:i w:val="false"/>
                <w:iCs w:val="false"/>
                <w:color w:val="000000"/>
                <w:sz w:val="18"/>
                <w:szCs w:val="18"/>
              </w:rPr>
              <w:t xml:space="preserve">Problem Statement No.:</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21</w:t>
            </w:r>
          </w:p>
        </w:tc>
        <w:tc>
          <w:tcPr>
            <w:tcW w:type="dxa" w:w="2700"/>
            <w:tcBorders>
              <w:top w:val="single" w:color="000000" w:sz="4"/>
              <w:left w:val="single" w:color="000000" w:sz="4"/>
              <w:bottom w:val="single" w:color="000000" w:sz="4"/>
              <w:right w:val="single" w:color="000000" w:sz="4"/>
            </w:tcBorders>
            <w:shd w:fill="F2F2F2" w:color="auto" w:val="clear"/>
            <w:tcMar>
              <w:top w:type="dxa" w:w="60"/>
              <w:left w:type="dxa" w:w="80"/>
              <w:bottom w:type="dxa" w:w="60"/>
              <w:right w:type="dxa" w:w="80"/>
            </w:tcMar>
            <w:vAlign w:val="center"/>
          </w:tcPr>
          <w:p>
            <w:pPr>
              <w:jc w:val="left"/>
            </w:pPr>
            <w:r>
              <w:rPr>
                <w:b/>
                <w:bCs/>
                <w:i w:val="false"/>
                <w:iCs w:val="false"/>
                <w:color w:val="000000"/>
                <w:sz w:val="18"/>
                <w:szCs w:val="18"/>
              </w:rPr>
              <w:t xml:space="preserve">Duration:</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60 minutes</w:t>
            </w:r>
          </w:p>
        </w:tc>
      </w:tr>
    </w:tbl>
    <w:p>
      <w:pPr>
        <w:spacing w:after="60" w:before="200"/>
      </w:pPr>
      <w:r>
        <w:rPr>
          <w:b/>
          <w:bCs/>
          <w:color w:val="000000"/>
          <w:sz w:val="19"/>
          <w:szCs w:val="19"/>
        </w:rPr>
        <w:t xml:space="preserve">CO4 Statement: </w:t>
      </w:r>
      <w:r>
        <w:rPr>
          <w:color w:val="000000"/>
          <w:sz w:val="19"/>
          <w:szCs w:val="19"/>
        </w:rPr>
        <w:t xml:space="preserve">Implement robust testing, quality assurance, and DevOps practices, emphasizing security, reliability, and ethics.</w:t>
      </w:r>
    </w:p>
    <w:p>
      <w:pPr>
        <w:spacing w:after="80"/>
      </w:pPr>
      <w:r>
        <w:rPr>
          <w:b/>
          <w:bCs/>
          <w:color w:val="000000"/>
          <w:sz w:val="20"/>
          <w:szCs w:val="20"/>
        </w:rPr>
        <w:t xml:space="preserve">Student Name: </w:t>
      </w:r>
      <w:r>
        <w:rPr>
          <w:color w:val="000000"/>
          <w:sz w:val="20"/>
          <w:szCs w:val="20"/>
        </w:rPr>
        <w:t xml:space="preserve">________________________________</w:t>
      </w:r>
    </w:p>
    <w:p>
      <w:pPr>
        <w:spacing w:after="80"/>
      </w:pPr>
      <w:r>
        <w:rPr>
          <w:b/>
          <w:bCs/>
          <w:color w:val="000000"/>
          <w:sz w:val="20"/>
          <w:szCs w:val="20"/>
        </w:rPr>
        <w:t xml:space="preserve">Register Number: </w:t>
      </w:r>
      <w:r>
        <w:rPr>
          <w:color w:val="000000"/>
          <w:sz w:val="20"/>
          <w:szCs w:val="20"/>
        </w:rPr>
        <w:t xml:space="preserve">________________________________</w:t>
      </w:r>
    </w:p>
    <w:p>
      <w:pPr>
        <w:spacing w:after="80"/>
      </w:pPr>
      <w:r>
        <w:rPr>
          <w:b/>
          <w:bCs/>
          <w:color w:val="000000"/>
          <w:sz w:val="20"/>
          <w:szCs w:val="20"/>
        </w:rPr>
        <w:t xml:space="preserve">Date: </w:t>
      </w:r>
      <w:r>
        <w:rPr>
          <w:color w:val="000000"/>
          <w:sz w:val="20"/>
          <w:szCs w:val="20"/>
        </w:rPr>
        <w:t xml:space="preserve">________________________</w:t>
      </w:r>
    </w:p>
    <w:p>
      <w:pPr>
        <w:pStyle w:val="Heading2"/>
        <w:spacing w:after="120" w:before="260"/>
      </w:pPr>
      <w:r>
        <w:rPr>
          <w:color w:val="000000"/>
        </w:rPr>
        <w:t xml:space="preserve">Code of Conduct</w:t>
      </w:r>
    </w:p>
    <w:p>
      <w:pPr>
        <w:spacing w:after="100"/>
      </w:pPr>
      <w:r>
        <w:rPr>
          <w:b w:val="false"/>
          <w:bCs w:val="false"/>
          <w:i w:val="false"/>
          <w:iCs w:val="false"/>
          <w:color w:val="000000"/>
          <w:sz w:val="20"/>
          <w:szCs w:val="20"/>
        </w:rPr>
        <w:t xml:space="preserve">I ______________________________________ (Name / Reg. No.) certify that this submission is my original work and that I have adhered to the guidelines specified for this assessment. I understand that any violation of academic integrity rules will result in disciplinary action.</w:t>
      </w:r>
    </w:p>
    <w:p>
      <w:pPr>
        <w:spacing w:after="80"/>
      </w:pPr>
      <w:r>
        <w:rPr>
          <w:b/>
          <w:bCs/>
          <w:color w:val="000000"/>
          <w:sz w:val="20"/>
          <w:szCs w:val="20"/>
        </w:rPr>
        <w:t xml:space="preserve">Signature of the Student: </w:t>
      </w:r>
      <w:r>
        <w:rPr>
          <w:color w:val="000000"/>
          <w:sz w:val="20"/>
          <w:szCs w:val="20"/>
        </w:rPr>
        <w:t xml:space="preserve">________________________________</w:t>
      </w:r>
    </w:p>
    <w:p>
      <w:r>
        <w:br w:type="page"/>
      </w:r>
    </w:p>
    <w:p>
      <w:pPr>
        <w:pStyle w:val="Heading1"/>
        <w:spacing w:after="120" w:before="260"/>
      </w:pPr>
      <w:r>
        <w:rPr>
          <w:color w:val="000000"/>
        </w:rPr>
        <w:t xml:space="preserve">1. Introduction and Scope</w:t>
      </w:r>
    </w:p>
    <w:p>
      <w:pPr>
        <w:spacing w:after="100"/>
      </w:pPr>
      <w:r>
        <w:rPr>
          <w:b w:val="false"/>
          <w:bCs w:val="false"/>
          <w:i w:val="false"/>
          <w:iCs w:val="false"/>
          <w:color w:val="000000"/>
          <w:sz w:val="20"/>
          <w:szCs w:val="20"/>
        </w:rPr>
        <w:t xml:space="preserve">This document presents the test case design for Problem Statement 21 — a secure, web-based Telemedicine Platform enabling virtual consultations between patients and doctors. The platform supports patient registration, doctor scheduling, real-time video consultation, electronic medical records (EMR), digital prescriptions, secure payments, and role-based access for patients, doctors, and administrators.</w:t>
      </w:r>
    </w:p>
    <w:p>
      <w:pPr>
        <w:spacing w:after="100"/>
      </w:pPr>
      <w:r>
        <w:rPr>
          <w:b w:val="false"/>
          <w:bCs w:val="false"/>
          <w:i w:val="false"/>
          <w:iCs w:val="false"/>
          <w:color w:val="000000"/>
          <w:sz w:val="20"/>
          <w:szCs w:val="20"/>
        </w:rPr>
        <w:t xml:space="preserve">The objective of this test design is to verify correctness, functionality, reliability, security, and usability of the platform through structured test scenarios and test cases covering normal, boundary, invalid, and exceptional conditions, supported by formal test design techniques and full requirement traceability.</w:t>
      </w:r>
    </w:p>
    <w:p>
      <w:pPr>
        <w:pStyle w:val="Heading1"/>
        <w:spacing w:after="120" w:before="260"/>
      </w:pPr>
      <w:r>
        <w:rPr>
          <w:color w:val="000000"/>
        </w:rPr>
        <w:t xml:space="preserve">2. Requirement Identification</w:t>
      </w:r>
    </w:p>
    <w:p>
      <w:pPr>
        <w:spacing w:after="100"/>
      </w:pPr>
      <w:r>
        <w:rPr>
          <w:b/>
          <w:bCs/>
          <w:i w:val="false"/>
          <w:iCs w:val="false"/>
          <w:color w:val="000000"/>
          <w:sz w:val="20"/>
          <w:szCs w:val="20"/>
        </w:rPr>
        <w:t xml:space="preserve">2.1 Functional Requirements (FR)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5400"/>
      </w:tblGrid>
      <w:tr>
        <w:trPr>
          <w:tblHeader/>
        </w:trPr>
        <w:tc>
          <w:tcPr>
            <w:tcW w:type="dxa" w:w="12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8"/>
                <w:szCs w:val="18"/>
              </w:rPr>
              <w:t xml:space="preserve">ID</w:t>
            </w:r>
          </w:p>
        </w:tc>
        <w:tc>
          <w:tcPr>
            <w:tcW w:type="dxa" w:w="42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8"/>
                <w:szCs w:val="18"/>
              </w:rPr>
              <w:t xml:space="preserve">Requirement</w:t>
            </w:r>
          </w:p>
        </w:tc>
        <w:tc>
          <w:tcPr>
            <w:tcW w:type="dxa" w:w="5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8"/>
                <w:szCs w:val="18"/>
              </w:rPr>
              <w:t xml:space="preserve">Description</w:t>
            </w:r>
          </w:p>
        </w:tc>
      </w:tr>
      <w:t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bCs/>
                <w:i w:val="false"/>
                <w:iCs w:val="false"/>
                <w:color w:val="000000"/>
                <w:sz w:val="18"/>
                <w:szCs w:val="18"/>
              </w:rPr>
              <w:t xml:space="preserve">FR1</w:t>
            </w:r>
          </w:p>
        </w:tc>
        <w:tc>
          <w:tcPr>
            <w:tcW w:type="dxa" w:w="4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Patient Registration &amp; Profile Management</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Patients can create an account, provide personal/medical details, and manage their profile.</w:t>
            </w:r>
          </w:p>
        </w:tc>
      </w:tr>
      <w:t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bCs/>
                <w:i w:val="false"/>
                <w:iCs w:val="false"/>
                <w:color w:val="000000"/>
                <w:sz w:val="18"/>
                <w:szCs w:val="18"/>
              </w:rPr>
              <w:t xml:space="preserve">FR2</w:t>
            </w:r>
          </w:p>
        </w:tc>
        <w:tc>
          <w:tcPr>
            <w:tcW w:type="dxa" w:w="4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Doctor Registration &amp; Schedule Management</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Doctors can register, get verified, and define available consultation slots.</w:t>
            </w:r>
          </w:p>
        </w:tc>
      </w:tr>
      <w:t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bCs/>
                <w:i w:val="false"/>
                <w:iCs w:val="false"/>
                <w:color w:val="000000"/>
                <w:sz w:val="18"/>
                <w:szCs w:val="18"/>
              </w:rPr>
              <w:t xml:space="preserve">FR3</w:t>
            </w:r>
          </w:p>
        </w:tc>
        <w:tc>
          <w:tcPr>
            <w:tcW w:type="dxa" w:w="4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Authentication &amp; Role-Based Access Control</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System authenticates users and restricts access based on role (Patient / Doctor / Admin).</w:t>
            </w:r>
          </w:p>
        </w:tc>
      </w:tr>
      <w:t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bCs/>
                <w:i w:val="false"/>
                <w:iCs w:val="false"/>
                <w:color w:val="000000"/>
                <w:sz w:val="18"/>
                <w:szCs w:val="18"/>
              </w:rPr>
              <w:t xml:space="preserve">FR4</w:t>
            </w:r>
          </w:p>
        </w:tc>
        <w:tc>
          <w:tcPr>
            <w:tcW w:type="dxa" w:w="4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Appointment Booking &amp; Scheduling</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Patients can search doctors, view availability, book, reschedule, and cancel appointments.</w:t>
            </w:r>
          </w:p>
        </w:tc>
      </w:tr>
      <w:t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bCs/>
                <w:i w:val="false"/>
                <w:iCs w:val="false"/>
                <w:color w:val="000000"/>
                <w:sz w:val="18"/>
                <w:szCs w:val="18"/>
              </w:rPr>
              <w:t xml:space="preserve">FR5</w:t>
            </w:r>
          </w:p>
        </w:tc>
        <w:tc>
          <w:tcPr>
            <w:tcW w:type="dxa" w:w="4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Real-Time Video Consultation</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Patients and doctors can conduct secure, real-time video consultations at the scheduled time.</w:t>
            </w:r>
          </w:p>
        </w:tc>
      </w:tr>
      <w:t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bCs/>
                <w:i w:val="false"/>
                <w:iCs w:val="false"/>
                <w:color w:val="000000"/>
                <w:sz w:val="18"/>
                <w:szCs w:val="18"/>
              </w:rPr>
              <w:t xml:space="preserve">FR6</w:t>
            </w:r>
          </w:p>
        </w:tc>
        <w:tc>
          <w:tcPr>
            <w:tcW w:type="dxa" w:w="4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Electronic Medical Records (EMR)</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Doctors can view patient history and update medical records after a consultation.</w:t>
            </w:r>
          </w:p>
        </w:tc>
      </w:tr>
      <w:t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bCs/>
                <w:i w:val="false"/>
                <w:iCs w:val="false"/>
                <w:color w:val="000000"/>
                <w:sz w:val="18"/>
                <w:szCs w:val="18"/>
              </w:rPr>
              <w:t xml:space="preserve">FR7</w:t>
            </w:r>
          </w:p>
        </w:tc>
        <w:tc>
          <w:tcPr>
            <w:tcW w:type="dxa" w:w="4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Digital Prescription Management</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Doctors can generate, edit, and issue digital prescriptions after a consultation.</w:t>
            </w:r>
          </w:p>
        </w:tc>
      </w:tr>
      <w:t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bCs/>
                <w:i w:val="false"/>
                <w:iCs w:val="false"/>
                <w:color w:val="000000"/>
                <w:sz w:val="18"/>
                <w:szCs w:val="18"/>
              </w:rPr>
              <w:t xml:space="preserve">FR8</w:t>
            </w:r>
          </w:p>
        </w:tc>
        <w:tc>
          <w:tcPr>
            <w:tcW w:type="dxa" w:w="4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Online Payment Processing</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Patients can securely pay consultation fees through an integrated payment gateway.</w:t>
            </w:r>
          </w:p>
        </w:tc>
      </w:tr>
      <w:t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bCs/>
                <w:i w:val="false"/>
                <w:iCs w:val="false"/>
                <w:color w:val="000000"/>
                <w:sz w:val="18"/>
                <w:szCs w:val="18"/>
              </w:rPr>
              <w:t xml:space="preserve">FR9</w:t>
            </w:r>
          </w:p>
        </w:tc>
        <w:tc>
          <w:tcPr>
            <w:tcW w:type="dxa" w:w="4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Notifications &amp; Alerts</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System sends automated SMS/email/push notifications for bookings, reminders, and payments.</w:t>
            </w:r>
          </w:p>
        </w:tc>
      </w:tr>
      <w:t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bCs/>
                <w:i w:val="false"/>
                <w:iCs w:val="false"/>
                <w:color w:val="000000"/>
                <w:sz w:val="18"/>
                <w:szCs w:val="18"/>
              </w:rPr>
              <w:t xml:space="preserve">FR10</w:t>
            </w:r>
          </w:p>
        </w:tc>
        <w:tc>
          <w:tcPr>
            <w:tcW w:type="dxa" w:w="4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Admin Dashboard &amp; User Management</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Admin can manage doctors, patients, view reports, and moderate platform activity.</w:t>
            </w:r>
          </w:p>
        </w:tc>
      </w:tr>
    </w:tbl>
    <w:p>
      <w:pPr>
        <w:spacing w:after="100" w:before="160"/>
      </w:pPr>
      <w:r>
        <w:rPr>
          <w:b/>
          <w:bCs/>
          <w:i w:val="false"/>
          <w:iCs w:val="false"/>
          <w:color w:val="000000"/>
          <w:sz w:val="20"/>
          <w:szCs w:val="20"/>
        </w:rPr>
        <w:t xml:space="preserve">2.2 Non-Functional Requirements (NFR)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5400"/>
      </w:tblGrid>
      <w:tr>
        <w:trPr>
          <w:tblHeader/>
        </w:trPr>
        <w:tc>
          <w:tcPr>
            <w:tcW w:type="dxa" w:w="12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8"/>
                <w:szCs w:val="18"/>
              </w:rPr>
              <w:t xml:space="preserve">ID</w:t>
            </w:r>
          </w:p>
        </w:tc>
        <w:tc>
          <w:tcPr>
            <w:tcW w:type="dxa" w:w="42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8"/>
                <w:szCs w:val="18"/>
              </w:rPr>
              <w:t xml:space="preserve">Requirement</w:t>
            </w:r>
          </w:p>
        </w:tc>
        <w:tc>
          <w:tcPr>
            <w:tcW w:type="dxa" w:w="5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8"/>
                <w:szCs w:val="18"/>
              </w:rPr>
              <w:t xml:space="preserve">Description</w:t>
            </w:r>
          </w:p>
        </w:tc>
      </w:tr>
      <w:t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bCs/>
                <w:i w:val="false"/>
                <w:iCs w:val="false"/>
                <w:color w:val="000000"/>
                <w:sz w:val="18"/>
                <w:szCs w:val="18"/>
              </w:rPr>
              <w:t xml:space="preserve">NFR1</w:t>
            </w:r>
          </w:p>
        </w:tc>
        <w:tc>
          <w:tcPr>
            <w:tcW w:type="dxa" w:w="4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Performance</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Video consultation should establish connection within 2 seconds; pages should load within 3 seconds under normal load.</w:t>
            </w:r>
          </w:p>
        </w:tc>
      </w:tr>
      <w:t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bCs/>
                <w:i w:val="false"/>
                <w:iCs w:val="false"/>
                <w:color w:val="000000"/>
                <w:sz w:val="18"/>
                <w:szCs w:val="18"/>
              </w:rPr>
              <w:t xml:space="preserve">NFR2</w:t>
            </w:r>
          </w:p>
        </w:tc>
        <w:tc>
          <w:tcPr>
            <w:tcW w:type="dxa" w:w="4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Security</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All patient data must be encrypted in transit (TLS) and at rest; system must comply with healthcare data protection standards (e.g., HIPAA/GDPR-equivalent).</w:t>
            </w:r>
          </w:p>
        </w:tc>
      </w:tr>
      <w:t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bCs/>
                <w:i w:val="false"/>
                <w:iCs w:val="false"/>
                <w:color w:val="000000"/>
                <w:sz w:val="18"/>
                <w:szCs w:val="18"/>
              </w:rPr>
              <w:t xml:space="preserve">NFR3</w:t>
            </w:r>
          </w:p>
        </w:tc>
        <w:tc>
          <w:tcPr>
            <w:tcW w:type="dxa" w:w="4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Availability &amp; Reliability</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System should maintain 99.9% uptime and gracefully handle network interruptions during consultations.</w:t>
            </w:r>
          </w:p>
        </w:tc>
      </w:tr>
      <w:t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bCs/>
                <w:i w:val="false"/>
                <w:iCs w:val="false"/>
                <w:color w:val="000000"/>
                <w:sz w:val="18"/>
                <w:szCs w:val="18"/>
              </w:rPr>
              <w:t xml:space="preserve">NFR4</w:t>
            </w:r>
          </w:p>
        </w:tc>
        <w:tc>
          <w:tcPr>
            <w:tcW w:type="dxa" w:w="4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Scalability</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System must support concurrent video consultations and scale horizontally during peak demand.</w:t>
            </w:r>
          </w:p>
        </w:tc>
      </w:tr>
      <w:t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bCs/>
                <w:i w:val="false"/>
                <w:iCs w:val="false"/>
                <w:color w:val="000000"/>
                <w:sz w:val="18"/>
                <w:szCs w:val="18"/>
              </w:rPr>
              <w:t xml:space="preserve">NFR5</w:t>
            </w:r>
          </w:p>
        </w:tc>
        <w:tc>
          <w:tcPr>
            <w:tcW w:type="dxa" w:w="4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Usability</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Interface must be intuitive and accessible for patients, doctors, and administrators of varying technical skill.</w:t>
            </w:r>
          </w:p>
        </w:tc>
      </w:tr>
      <w:t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bCs/>
                <w:i w:val="false"/>
                <w:iCs w:val="false"/>
                <w:color w:val="000000"/>
                <w:sz w:val="18"/>
                <w:szCs w:val="18"/>
              </w:rPr>
              <w:t xml:space="preserve">NFR6</w:t>
            </w:r>
          </w:p>
        </w:tc>
        <w:tc>
          <w:tcPr>
            <w:tcW w:type="dxa" w:w="4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Data Privacy &amp; Auditability</w:t>
            </w:r>
          </w:p>
        </w:tc>
        <w:tc>
          <w:tcPr>
            <w:tcW w:type="dxa" w:w="5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8"/>
                <w:szCs w:val="18"/>
              </w:rPr>
              <w:t xml:space="preserve">Access to medical records must be role-restricted and logged for audit purposes.</w:t>
            </w:r>
          </w:p>
        </w:tc>
      </w:tr>
    </w:tbl>
    <w:p>
      <w:pPr>
        <w:pStyle w:val="Heading1"/>
        <w:spacing w:after="120" w:before="260"/>
      </w:pPr>
      <w:r>
        <w:rPr>
          <w:color w:val="000000"/>
        </w:rPr>
        <w:t xml:space="preserve">3. Test Scenario Identification</w:t>
      </w:r>
    </w:p>
    <w:p>
      <w:pPr>
        <w:spacing w:after="100"/>
      </w:pPr>
      <w:r>
        <w:rPr>
          <w:b w:val="false"/>
          <w:bCs w:val="false"/>
          <w:i w:val="false"/>
          <w:iCs w:val="false"/>
          <w:color w:val="000000"/>
          <w:sz w:val="20"/>
          <w:szCs w:val="20"/>
        </w:rPr>
        <w:t xml:space="preserve">Based on the functional and non-functional requirements, the following key test scenarios were identified across all platform modules:</w:t>
      </w:r>
    </w:p>
    <w:p>
      <w:pPr>
        <w:pStyle w:val="ListParagraph"/>
        <w:numPr>
          <w:ilvl w:val="0"/>
          <w:numId w:val="1"/>
        </w:numPr>
        <w:spacing w:after="100"/>
      </w:pPr>
      <w:r>
        <w:rPr>
          <w:b w:val="false"/>
          <w:bCs w:val="false"/>
          <w:i w:val="false"/>
          <w:iCs w:val="false"/>
          <w:color w:val="000000"/>
          <w:sz w:val="20"/>
          <w:szCs w:val="20"/>
        </w:rPr>
        <w:t xml:space="preserve">Patient registration with valid and invalid data</w:t>
      </w:r>
    </w:p>
    <w:p>
      <w:pPr>
        <w:pStyle w:val="ListParagraph"/>
        <w:numPr>
          <w:ilvl w:val="0"/>
          <w:numId w:val="1"/>
        </w:numPr>
        <w:spacing w:after="100"/>
      </w:pPr>
      <w:r>
        <w:rPr>
          <w:b w:val="false"/>
          <w:bCs w:val="false"/>
          <w:i w:val="false"/>
          <w:iCs w:val="false"/>
          <w:color w:val="000000"/>
          <w:sz w:val="20"/>
          <w:szCs w:val="20"/>
        </w:rPr>
        <w:t xml:space="preserve">Doctor registration and credential verification</w:t>
      </w:r>
    </w:p>
    <w:p>
      <w:pPr>
        <w:pStyle w:val="ListParagraph"/>
        <w:numPr>
          <w:ilvl w:val="0"/>
          <w:numId w:val="1"/>
        </w:numPr>
        <w:spacing w:after="100"/>
      </w:pPr>
      <w:r>
        <w:rPr>
          <w:b w:val="false"/>
          <w:bCs w:val="false"/>
          <w:i w:val="false"/>
          <w:iCs w:val="false"/>
          <w:color w:val="000000"/>
          <w:sz w:val="20"/>
          <w:szCs w:val="20"/>
        </w:rPr>
        <w:t xml:space="preserve">User login, OTP verification, and account lockout after repeated failures</w:t>
      </w:r>
    </w:p>
    <w:p>
      <w:pPr>
        <w:pStyle w:val="ListParagraph"/>
        <w:numPr>
          <w:ilvl w:val="0"/>
          <w:numId w:val="1"/>
        </w:numPr>
        <w:spacing w:after="100"/>
      </w:pPr>
      <w:r>
        <w:rPr>
          <w:b w:val="false"/>
          <w:bCs w:val="false"/>
          <w:i w:val="false"/>
          <w:iCs w:val="false"/>
          <w:color w:val="000000"/>
          <w:sz w:val="20"/>
          <w:szCs w:val="20"/>
        </w:rPr>
        <w:t xml:space="preserve">Role-based access restriction between Patient, Doctor, and Admin</w:t>
      </w:r>
    </w:p>
    <w:p>
      <w:pPr>
        <w:pStyle w:val="ListParagraph"/>
        <w:numPr>
          <w:ilvl w:val="0"/>
          <w:numId w:val="1"/>
        </w:numPr>
        <w:spacing w:after="100"/>
      </w:pPr>
      <w:r>
        <w:rPr>
          <w:b w:val="false"/>
          <w:bCs w:val="false"/>
          <w:i w:val="false"/>
          <w:iCs w:val="false"/>
          <w:color w:val="000000"/>
          <w:sz w:val="20"/>
          <w:szCs w:val="20"/>
        </w:rPr>
        <w:t xml:space="preserve">Doctor availability/slot management</w:t>
      </w:r>
    </w:p>
    <w:p>
      <w:pPr>
        <w:pStyle w:val="ListParagraph"/>
        <w:numPr>
          <w:ilvl w:val="0"/>
          <w:numId w:val="1"/>
        </w:numPr>
        <w:spacing w:after="100"/>
      </w:pPr>
      <w:r>
        <w:rPr>
          <w:b w:val="false"/>
          <w:bCs w:val="false"/>
          <w:i w:val="false"/>
          <w:iCs w:val="false"/>
          <w:color w:val="000000"/>
          <w:sz w:val="20"/>
          <w:szCs w:val="20"/>
        </w:rPr>
        <w:t xml:space="preserve">Appointment booking, rescheduling, cancellation, and conflict handling</w:t>
      </w:r>
    </w:p>
    <w:p>
      <w:pPr>
        <w:pStyle w:val="ListParagraph"/>
        <w:numPr>
          <w:ilvl w:val="0"/>
          <w:numId w:val="1"/>
        </w:numPr>
        <w:spacing w:after="100"/>
      </w:pPr>
      <w:r>
        <w:rPr>
          <w:b w:val="false"/>
          <w:bCs w:val="false"/>
          <w:i w:val="false"/>
          <w:iCs w:val="false"/>
          <w:color w:val="000000"/>
          <w:sz w:val="20"/>
          <w:szCs w:val="20"/>
        </w:rPr>
        <w:t xml:space="preserve">Real-time video consultation initiation, continuity, and disconnection handling</w:t>
      </w:r>
    </w:p>
    <w:p>
      <w:pPr>
        <w:pStyle w:val="ListParagraph"/>
        <w:numPr>
          <w:ilvl w:val="0"/>
          <w:numId w:val="1"/>
        </w:numPr>
        <w:spacing w:after="100"/>
      </w:pPr>
      <w:r>
        <w:rPr>
          <w:b w:val="false"/>
          <w:bCs w:val="false"/>
          <w:i w:val="false"/>
          <w:iCs w:val="false"/>
          <w:color w:val="000000"/>
          <w:sz w:val="20"/>
          <w:szCs w:val="20"/>
        </w:rPr>
        <w:t xml:space="preserve">Electronic medical record creation, update, and unauthorized access prevention</w:t>
      </w:r>
    </w:p>
    <w:p>
      <w:pPr>
        <w:pStyle w:val="ListParagraph"/>
        <w:numPr>
          <w:ilvl w:val="0"/>
          <w:numId w:val="1"/>
        </w:numPr>
        <w:spacing w:after="100"/>
      </w:pPr>
      <w:r>
        <w:rPr>
          <w:b w:val="false"/>
          <w:bCs w:val="false"/>
          <w:i w:val="false"/>
          <w:iCs w:val="false"/>
          <w:color w:val="000000"/>
          <w:sz w:val="20"/>
          <w:szCs w:val="20"/>
        </w:rPr>
        <w:t xml:space="preserve">Digital prescription generation and validation</w:t>
      </w:r>
    </w:p>
    <w:p>
      <w:pPr>
        <w:pStyle w:val="ListParagraph"/>
        <w:numPr>
          <w:ilvl w:val="0"/>
          <w:numId w:val="1"/>
        </w:numPr>
        <w:spacing w:after="100"/>
      </w:pPr>
      <w:r>
        <w:rPr>
          <w:b w:val="false"/>
          <w:bCs w:val="false"/>
          <w:i w:val="false"/>
          <w:iCs w:val="false"/>
          <w:color w:val="000000"/>
          <w:sz w:val="20"/>
          <w:szCs w:val="20"/>
        </w:rPr>
        <w:t xml:space="preserve">Online payment processing, including failures and boundary amounts</w:t>
      </w:r>
    </w:p>
    <w:p>
      <w:pPr>
        <w:pStyle w:val="ListParagraph"/>
        <w:numPr>
          <w:ilvl w:val="0"/>
          <w:numId w:val="1"/>
        </w:numPr>
        <w:spacing w:after="100"/>
      </w:pPr>
      <w:r>
        <w:rPr>
          <w:b w:val="false"/>
          <w:bCs w:val="false"/>
          <w:i w:val="false"/>
          <w:iCs w:val="false"/>
          <w:color w:val="000000"/>
          <w:sz w:val="20"/>
          <w:szCs w:val="20"/>
        </w:rPr>
        <w:t xml:space="preserve">Automated notification delivery (booking, reminder, payment)</w:t>
      </w:r>
    </w:p>
    <w:p>
      <w:pPr>
        <w:pStyle w:val="ListParagraph"/>
        <w:numPr>
          <w:ilvl w:val="0"/>
          <w:numId w:val="1"/>
        </w:numPr>
        <w:spacing w:after="100"/>
      </w:pPr>
      <w:r>
        <w:rPr>
          <w:b w:val="false"/>
          <w:bCs w:val="false"/>
          <w:i w:val="false"/>
          <w:iCs w:val="false"/>
          <w:color w:val="000000"/>
          <w:sz w:val="20"/>
          <w:szCs w:val="20"/>
        </w:rPr>
        <w:t xml:space="preserve">Admin management of doctor/patient accounts</w:t>
      </w:r>
    </w:p>
    <w:p>
      <w:pPr>
        <w:pStyle w:val="ListParagraph"/>
        <w:numPr>
          <w:ilvl w:val="0"/>
          <w:numId w:val="1"/>
        </w:numPr>
        <w:spacing w:after="100"/>
      </w:pPr>
      <w:r>
        <w:rPr>
          <w:b w:val="false"/>
          <w:bCs w:val="false"/>
          <w:i w:val="false"/>
          <w:iCs w:val="false"/>
          <w:color w:val="000000"/>
          <w:sz w:val="20"/>
          <w:szCs w:val="20"/>
        </w:rPr>
        <w:t xml:space="preserve">System performance under concurrent video consultation load</w:t>
      </w:r>
    </w:p>
    <w:p>
      <w:pPr>
        <w:pStyle w:val="Heading1"/>
        <w:spacing w:after="120" w:before="260"/>
      </w:pPr>
      <w:r>
        <w:rPr>
          <w:color w:val="000000"/>
        </w:rPr>
        <w:t xml:space="preserve">4. Detailed Test Cases</w:t>
      </w:r>
    </w:p>
    <w:p>
      <w:pPr>
        <w:spacing w:after="100"/>
      </w:pPr>
      <w:r>
        <w:rPr>
          <w:b w:val="false"/>
          <w:bCs w:val="false"/>
          <w:i w:val="false"/>
          <w:iCs w:val="false"/>
          <w:color w:val="000000"/>
          <w:sz w:val="20"/>
          <w:szCs w:val="20"/>
        </w:rPr>
        <w:t xml:space="preserve">The following table documents detailed test cases covering normal, boundary, invalid, and exceptional conditions across all modules of the Telemedicine Platform.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600"/>
        <w:gridCol w:w="1500"/>
        <w:gridCol w:w="2200"/>
        <w:gridCol w:w="1300"/>
        <w:gridCol w:w="1000"/>
      </w:tblGrid>
      <w:tr>
        <w:trPr>
          <w:tblHeader/>
        </w:trPr>
        <w:tc>
          <w:tcPr>
            <w:tcW w:type="dxa" w:w="7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6"/>
                <w:szCs w:val="16"/>
              </w:rPr>
              <w:t xml:space="preserve">TC ID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6"/>
                <w:szCs w:val="16"/>
              </w:rPr>
              <w:t xml:space="preserve">Module / Scenario</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6"/>
                <w:szCs w:val="16"/>
              </w:rPr>
              <w:t xml:space="preserve">Test Steps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6"/>
                <w:szCs w:val="16"/>
              </w:rPr>
              <w:t xml:space="preserve">Test Data</w:t>
            </w:r>
          </w:p>
        </w:tc>
        <w:tc>
          <w:tcPr>
            <w:tcW w:type="dxa" w:w="22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6"/>
                <w:szCs w:val="16"/>
              </w:rPr>
              <w:t xml:space="preserve">Expected Result</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6"/>
                <w:szCs w:val="16"/>
              </w:rPr>
              <w:t xml:space="preserve">Actual Result</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6"/>
                <w:szCs w:val="16"/>
              </w:rPr>
              <w:t xml:space="preserve">Status</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TC-01</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Registration – Valid signup (Normal)</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1. Open registration page</w:t>
            </w:r>
          </w:p>
          <w:p>
            <w:r>
              <w:rPr>
                <w:color w:val="000000"/>
                <w:sz w:val="15"/>
                <w:szCs w:val="15"/>
              </w:rPr>
              <w:t xml:space="preserve">2. Enter valid patient details</w:t>
            </w:r>
          </w:p>
          <w:p>
            <w:r>
              <w:rPr>
                <w:color w:val="000000"/>
                <w:sz w:val="15"/>
                <w:szCs w:val="15"/>
              </w:rPr>
              <w:t xml:space="preserve">3. Submit form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Name: Arun Kumar; Email: arun@mail.com; Password: Pat@1234</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Account created successfully; confirmation email sent</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Account created; email received</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TC-02</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Registration – Duplicate email (Invalid)</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1. Register using an email already in system</w:t>
            </w:r>
          </w:p>
          <w:p>
            <w:r>
              <w:rPr>
                <w:color w:val="000000"/>
                <w:sz w:val="15"/>
                <w:szCs w:val="15"/>
              </w:rPr>
              <w:t xml:space="preserve">2. Submit form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Email: arun@mail.com (existing)</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System rejects with 'Email already registered' error</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Error displayed as expected</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TC-03</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Registration – Password length boundary (Boundary)</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1. Enter password of exactly 8 characters (minimum allowed)</w:t>
            </w:r>
          </w:p>
          <w:p>
            <w:r>
              <w:rPr>
                <w:color w:val="000000"/>
                <w:sz w:val="15"/>
                <w:szCs w:val="15"/>
              </w:rPr>
              <w:t xml:space="preserve">2. Submit form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Password: Pat@123 (8 chars)</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Password accepted (minimum boundary satisfied)</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Accepted</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TC-04</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Registration – Missing mandatory field (Invalid)</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1. Leave 'Email' field blank</w:t>
            </w:r>
          </w:p>
          <w:p>
            <w:r>
              <w:rPr>
                <w:color w:val="000000"/>
                <w:sz w:val="15"/>
                <w:szCs w:val="15"/>
              </w:rPr>
              <w:t xml:space="preserve">2. Submit form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Email: (blank)</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System prompts 'Email is required' and blocks submission</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Prompt shown, submission blocked</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TC-05</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Doctor Registration – Credential upload (Normal)</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1. Register as doctor</w:t>
            </w:r>
          </w:p>
          <w:p>
            <w:r>
              <w:rPr>
                <w:color w:val="000000"/>
                <w:sz w:val="15"/>
                <w:szCs w:val="15"/>
              </w:rPr>
              <w:t xml:space="preserve">2. Upload medical license</w:t>
            </w:r>
          </w:p>
          <w:p>
            <w:r>
              <w:rPr>
                <w:color w:val="000000"/>
                <w:sz w:val="15"/>
                <w:szCs w:val="15"/>
              </w:rPr>
              <w:t xml:space="preserve">3. Submit for verification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License file: valid PDF, Specialization: Cardiology</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Doctor profile created with status 'Pending Verification'</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Status set correctly</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TC-06</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Login – Valid credentials (Normal)</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1. Enter registered email/password</w:t>
            </w:r>
          </w:p>
          <w:p>
            <w:r>
              <w:rPr>
                <w:color w:val="000000"/>
                <w:sz w:val="15"/>
                <w:szCs w:val="15"/>
              </w:rPr>
              <w:t xml:space="preserve">2. Click Login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Email: arun@mail.com; Password: Pat@1234</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User logged in and redirected to role-based dashboard</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Redirected correctly</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TC-07</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Login – Repeated invalid attempts (Exceptional)</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1. Enter wrong password 3 consecutive times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Password: Wrong@111 (x3)</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Account locked for 15 minutes after 3rd failed attempt</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Account locked with message</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TC-08</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Login – OTP boundary (Boundary)</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1. Enter exactly 6-digit OTP within validity window</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OTP: 483920 (6 digits)</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OTP accepted; user logged in</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Accepted</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TC-09</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RBAC – Unauthorized module access (Invalid/Security)</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1. Log in as Patient</w:t>
            </w:r>
          </w:p>
          <w:p>
            <w:r>
              <w:rPr>
                <w:color w:val="000000"/>
                <w:sz w:val="15"/>
                <w:szCs w:val="15"/>
              </w:rPr>
              <w:t xml:space="preserve">2. Attempt to access Admin dashboard URL directly</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Role: Patient</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Access denied; 'Unauthorized Access' error shown</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Access denied as expected</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TC-10</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Appointment – Valid slot booking (Normal)</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1. Search doctor</w:t>
            </w:r>
          </w:p>
          <w:p>
            <w:r>
              <w:rPr>
                <w:color w:val="000000"/>
                <w:sz w:val="15"/>
                <w:szCs w:val="15"/>
              </w:rPr>
              <w:t xml:space="preserve">2. Select available slot</w:t>
            </w:r>
          </w:p>
          <w:p>
            <w:r>
              <w:rPr>
                <w:color w:val="000000"/>
                <w:sz w:val="15"/>
                <w:szCs w:val="15"/>
              </w:rPr>
              <w:t xml:space="preserve">3. Confirm booking</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Doctor: Dr. Rao; Slot: 10:00 AM, 20-Aug-2026</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Appointment booked; confirmation displayed and emailed</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Booking confirmed</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TC-11</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Appointment – Double booking same slot (Exceptional)</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1. Two patients attempt to book the same slot simultaneously</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Slot: 10:00 AM, 20-Aug-2026</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Second booking rejected; slot marked unavailable</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Second request rejected</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TC-12</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Appointment – Past date selection (Invalid)</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1. Attempt to select a date earlier than current date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Date: 01-Jan-2020</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System blocks selection with validation error</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Blocked with error</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TC-13</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Appointment – Cancellation window boundary (Boundary)</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1. Cancel appointment exactly 1 hour before scheduled time (minimum allowed window)</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Cancellation time: T-60 minutes</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Cancellation permitted at boundary limit</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Cancellation allowed</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TC-14</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Video Consultation – Successful connection (Normal)</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1. Both doctor and patient join at scheduled time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Appointment status: Confirmed</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Video call connects within 2 seconds; both parties visible</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Connected within limit</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TC-15</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Video Consultation – Network drop mid-call (Exceptional)</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1. Simulate network disconnect during active call</w:t>
            </w:r>
          </w:p>
          <w:p>
            <w:r>
              <w:rPr>
                <w:color w:val="000000"/>
                <w:sz w:val="15"/>
                <w:szCs w:val="15"/>
              </w:rPr>
              <w:t xml:space="preserve">2. Observe reconnection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Simulated packet loss 100% for 5s</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System attempts auto-reconnect; session resumes without data loss</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Auto-reconnected successfully</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TC-16</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EMR – Doctor updates record post-consultation (Normal)</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1. Doctor opens patient record after call</w:t>
            </w:r>
          </w:p>
          <w:p>
            <w:r>
              <w:rPr>
                <w:color w:val="000000"/>
                <w:sz w:val="15"/>
                <w:szCs w:val="15"/>
              </w:rPr>
              <w:t xml:space="preserve">2. Adds diagnosis notes</w:t>
            </w:r>
          </w:p>
          <w:p>
            <w:r>
              <w:rPr>
                <w:color w:val="000000"/>
                <w:sz w:val="15"/>
                <w:szCs w:val="15"/>
              </w:rPr>
              <w:t xml:space="preserve">3. Saves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Diagnosis: 'Mild hypertension'</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Record updated and timestamped; visible to patient</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Record updated correctly</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TC-17</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EMR – Unauthorized record access (Security/Invalid)</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1. Doctor attempts to open another doctor's patient record without a consultation link</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Patient ID not linked to doctor</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Access denied; attempt logged for audit</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Access denied and logged</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TC-18</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Prescription – Valid digital prescription (Normal)</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1. Doctor enters medicine, dosage, duration</w:t>
            </w:r>
          </w:p>
          <w:p>
            <w:r>
              <w:rPr>
                <w:color w:val="000000"/>
                <w:sz w:val="15"/>
                <w:szCs w:val="15"/>
              </w:rPr>
              <w:t xml:space="preserve">2. Issues prescription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Medicine: Amlodipine 5mg, 1-0-1, 10 days</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Prescription generated as PDF and shared with patient</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PDF generated and shared</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TC-19</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Prescription – Invalid dosage value (Invalid)</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1. Enter negative dosage quantity</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Dosage: -5 mg</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System rejects with validation error</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Validation error shown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TC-20</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Payment – Successful transaction (Normal)</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1. Select payment method</w:t>
            </w:r>
          </w:p>
          <w:p>
            <w:r>
              <w:rPr>
                <w:color w:val="000000"/>
                <w:sz w:val="15"/>
                <w:szCs w:val="15"/>
              </w:rPr>
              <w:t xml:space="preserve">2. Enter valid card details</w:t>
            </w:r>
          </w:p>
          <w:p>
            <w:r>
              <w:rPr>
                <w:color w:val="000000"/>
                <w:sz w:val="15"/>
                <w:szCs w:val="15"/>
              </w:rPr>
              <w:t xml:space="preserve">3. Confirm payment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Amount: ₹500; Card: valid test card</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Payment successful; receipt generated</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Payment success, receipt shown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TC-21</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Payment – Insufficient funds (Exceptional)</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1. Attempt payment with card having insufficient balance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Amount: ₹500 (balance ₹100)</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Transaction declined; user notified to retry</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Declined with message</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TC-22</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Payment – Minimum fee boundary (Boundary)</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1. Process payment at minimum allowed consultation fee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Amount: ₹1 (minimum boundary)</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Payment accepted at boundary value</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Accepted</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TC-23</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Notification – Appointment reminder (Normal)</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1. Wait until 30 minutes before scheduled appointment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Appointment at 10:00 AM</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Reminder notification sent via SMS/email at 9:30 AM</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Reminder sent on time</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TC-24</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Admin – Deactivate doctor account (Normal)</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1. Admin selects doctor</w:t>
            </w:r>
          </w:p>
          <w:p>
            <w:r>
              <w:rPr>
                <w:color w:val="000000"/>
                <w:sz w:val="15"/>
                <w:szCs w:val="15"/>
              </w:rPr>
              <w:t xml:space="preserve">2. Clicks 'Deactivate'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Doctor: Dr. Rao</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Account deactivated; doctor cannot log in; future slots hidden</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Deactivated as expected</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t>
            </w:r>
          </w:p>
        </w:tc>
      </w:tr>
      <w:tr>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TC-25</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Performance – Concurrent video load (NFR)</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1. Simulate 50 concurrent video consultations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50 parallel sessions</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All sessions maintain &lt;2s connection latency, no crash</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System stable under load</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r>
              <w:rPr>
                <w:color w:val="000000"/>
                <w:sz w:val="15"/>
                <w:szCs w:val="15"/>
              </w:rPr>
              <w:t xml:space="preserve">Pass</w:t>
            </w:r>
          </w:p>
        </w:tc>
      </w:tr>
    </w:tbl>
    <w:p>
      <w:pPr>
        <w:pStyle w:val="Heading1"/>
        <w:spacing w:after="120" w:before="260"/>
      </w:pPr>
      <w:r>
        <w:rPr>
          <w:color w:val="000000"/>
        </w:rPr>
        <w:t xml:space="preserve">5. Application of Test Design Techniques</w:t>
      </w:r>
    </w:p>
    <w:p>
      <w:pPr>
        <w:spacing w:after="100"/>
      </w:pPr>
      <w:r>
        <w:rPr>
          <w:b w:val="false"/>
          <w:bCs w:val="false"/>
          <w:i w:val="false"/>
          <w:iCs w:val="false"/>
          <w:color w:val="000000"/>
          <w:sz w:val="20"/>
          <w:szCs w:val="20"/>
        </w:rPr>
        <w:t xml:space="preserve">To ensure comprehensive and efficient coverage, the following formal test design techniques were applied to relevant fields and workflows of the platform:</w:t>
      </w:r>
    </w:p>
    <w:p>
      <w:pPr>
        <w:spacing w:after="60" w:before="160"/>
      </w:pPr>
      <w:r>
        <w:rPr>
          <w:b/>
          <w:bCs/>
          <w:i w:val="false"/>
          <w:iCs w:val="false"/>
          <w:color w:val="000000"/>
          <w:sz w:val="20"/>
          <w:szCs w:val="20"/>
        </w:rPr>
        <w:t xml:space="preserve">5.1 Equivalence Partitioning (EP)</w:t>
      </w:r>
    </w:p>
    <w:p>
      <w:pPr>
        <w:spacing w:after="100"/>
      </w:pPr>
      <w:r>
        <w:rPr>
          <w:b w:val="false"/>
          <w:bCs w:val="false"/>
          <w:i w:val="false"/>
          <w:iCs w:val="false"/>
          <w:color w:val="000000"/>
          <w:sz w:val="19"/>
          <w:szCs w:val="19"/>
        </w:rPr>
        <w:t xml:space="preserve">Used on the Password field during registration to divide input into valid and invalid classes, reducing redundant test cases while retaining coverage. Related: TC-03.</w:t>
      </w:r>
    </w:p>
    <w:p>
      <w:pPr>
        <w:spacing w:after="60" w:before="40"/>
      </w:pPr>
      <w:r>
        <w:rPr>
          <w:b w:val="false"/>
          <w:bCs w:val="false"/>
          <w:i/>
          <w:iCs/>
          <w:color w:val="000000"/>
          <w:sz w:val="18"/>
          <w:szCs w:val="18"/>
        </w:rPr>
        <w:t xml:space="preserve">Example — Password Field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4400"/>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6"/>
                <w:szCs w:val="16"/>
              </w:rPr>
              <w:t xml:space="preserve">Partition</w:t>
            </w:r>
          </w:p>
        </w:tc>
        <w:tc>
          <w:tcPr>
            <w:tcW w:type="dxa" w:w="4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6"/>
                <w:szCs w:val="16"/>
              </w:rPr>
              <w:t xml:space="preserve">Input Range</w:t>
            </w:r>
          </w:p>
        </w:tc>
        <w:tc>
          <w:tcPr>
            <w:tcW w:type="dxa" w:w="4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6"/>
                <w:szCs w:val="16"/>
              </w:rPr>
              <w:t xml:space="preserve">Expected Behaviour</w:t>
            </w:r>
          </w:p>
        </w:tc>
      </w:tr>
      <w:t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Invalid Class 1</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&lt; 8 characters</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Rejected</w:t>
            </w:r>
          </w:p>
        </w:tc>
      </w:tr>
      <w:t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Valid Class</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8–20 characters, alphanumeric + symbol</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Accepted</w:t>
            </w:r>
          </w:p>
        </w:tc>
      </w:tr>
      <w:t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Invalid Class 2</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&gt; 20 characters</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Rejected</w:t>
            </w:r>
          </w:p>
        </w:tc>
      </w:tr>
    </w:tbl>
    <w:p>
      <w:pPr>
        <w:spacing w:after="60" w:before="160"/>
      </w:pPr>
      <w:r>
        <w:rPr>
          <w:b/>
          <w:bCs/>
          <w:i w:val="false"/>
          <w:iCs w:val="false"/>
          <w:color w:val="000000"/>
          <w:sz w:val="20"/>
          <w:szCs w:val="20"/>
        </w:rPr>
        <w:t xml:space="preserve">5.2 Boundary Value Analysis (BVA)</w:t>
      </w:r>
    </w:p>
    <w:p>
      <w:pPr>
        <w:spacing w:after="100"/>
      </w:pPr>
      <w:r>
        <w:rPr>
          <w:b w:val="false"/>
          <w:bCs w:val="false"/>
          <w:i w:val="false"/>
          <w:iCs w:val="false"/>
          <w:color w:val="000000"/>
          <w:sz w:val="19"/>
          <w:szCs w:val="19"/>
        </w:rPr>
        <w:t xml:space="preserve">Applied to numeric/length-bound fields such as password length and consultation fee, testing values at and around the boundary limits. Related: TC-03, TC-22.</w:t>
      </w:r>
    </w:p>
    <w:p>
      <w:pPr>
        <w:spacing w:after="60" w:before="40"/>
      </w:pPr>
      <w:r>
        <w:rPr>
          <w:b w:val="false"/>
          <w:bCs w:val="false"/>
          <w:i/>
          <w:iCs/>
          <w:color w:val="000000"/>
          <w:sz w:val="18"/>
          <w:szCs w:val="18"/>
        </w:rPr>
        <w:t xml:space="preserve">Example — Consultation Fee (min ₹1, max ₹5000)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4400"/>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6"/>
                <w:szCs w:val="16"/>
              </w:rPr>
              <w:t xml:space="preserve">Value</w:t>
            </w:r>
          </w:p>
        </w:tc>
        <w:tc>
          <w:tcPr>
            <w:tcW w:type="dxa" w:w="4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6"/>
                <w:szCs w:val="16"/>
              </w:rPr>
              <w:t xml:space="preserve">Boundary Type</w:t>
            </w:r>
          </w:p>
        </w:tc>
        <w:tc>
          <w:tcPr>
            <w:tcW w:type="dxa" w:w="44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6"/>
                <w:szCs w:val="16"/>
              </w:rPr>
              <w:t xml:space="preserve">Expected Behaviour</w:t>
            </w:r>
          </w:p>
        </w:tc>
      </w:tr>
      <w:t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₹0</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Below minimum</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Rejected</w:t>
            </w:r>
          </w:p>
        </w:tc>
      </w:tr>
      <w:t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₹1</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Minimum boundary</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Accepted</w:t>
            </w:r>
          </w:p>
        </w:tc>
      </w:tr>
      <w:t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₹5000</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Maximum boundary</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Accepted</w:t>
            </w:r>
          </w:p>
        </w:tc>
      </w:tr>
      <w:t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₹5001</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Above maximum</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Rejected</w:t>
            </w:r>
          </w:p>
        </w:tc>
      </w:tr>
    </w:tbl>
    <w:p>
      <w:pPr>
        <w:spacing w:after="60" w:before="160"/>
      </w:pPr>
      <w:r>
        <w:rPr>
          <w:b/>
          <w:bCs/>
          <w:i w:val="false"/>
          <w:iCs w:val="false"/>
          <w:color w:val="000000"/>
          <w:sz w:val="20"/>
          <w:szCs w:val="20"/>
        </w:rPr>
        <w:t xml:space="preserve">5.3 Decision Table Testing</w:t>
      </w:r>
    </w:p>
    <w:p>
      <w:pPr>
        <w:spacing w:after="100"/>
      </w:pPr>
      <w:r>
        <w:rPr>
          <w:b w:val="false"/>
          <w:bCs w:val="false"/>
          <w:i w:val="false"/>
          <w:iCs w:val="false"/>
          <w:color w:val="000000"/>
          <w:sz w:val="19"/>
          <w:szCs w:val="19"/>
        </w:rPr>
        <w:t xml:space="preserve">Applied to the payment authorization logic, which depends on multiple independent conditions. Related: TC-20, TC-21.</w:t>
      </w:r>
    </w:p>
    <w:p>
      <w:pPr>
        <w:spacing w:after="60" w:before="40"/>
      </w:pPr>
      <w:r>
        <w:rPr>
          <w:b w:val="false"/>
          <w:bCs w:val="false"/>
          <w:i/>
          <w:iCs/>
          <w:color w:val="000000"/>
          <w:sz w:val="18"/>
          <w:szCs w:val="18"/>
        </w:rPr>
        <w:t xml:space="preserve">Example — Payment Authorization Decision Table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rPr>
          <w:tblHeader/>
        </w:trPr>
        <w:tc>
          <w:tcPr>
            <w:tcW w:type="dxa" w:w="27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6"/>
                <w:szCs w:val="16"/>
              </w:rPr>
              <w:t xml:space="preserve">Condition Set</w:t>
            </w:r>
          </w:p>
        </w:tc>
        <w:tc>
          <w:tcPr>
            <w:tcW w:type="dxa" w:w="27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6"/>
                <w:szCs w:val="16"/>
              </w:rPr>
              <w:t xml:space="preserve">Card Valid</w:t>
            </w:r>
          </w:p>
        </w:tc>
        <w:tc>
          <w:tcPr>
            <w:tcW w:type="dxa" w:w="27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6"/>
                <w:szCs w:val="16"/>
              </w:rPr>
              <w:t xml:space="preserve">Balance OK</w:t>
            </w:r>
          </w:p>
        </w:tc>
        <w:tc>
          <w:tcPr>
            <w:tcW w:type="dxa" w:w="27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6"/>
                <w:szCs w:val="16"/>
              </w:rPr>
              <w:t xml:space="preserve">Outcome</w:t>
            </w:r>
          </w:p>
        </w:tc>
      </w:tr>
      <w:t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Card Valid = Y, Balance Sufficient = Y</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Y</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Y</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Transaction Approved</w:t>
            </w:r>
          </w:p>
        </w:tc>
      </w:tr>
      <w:t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Card Valid = Y, Balance Sufficient = N</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Y</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N</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Transaction Declined – Insufficient Funds</w:t>
            </w:r>
          </w:p>
        </w:tc>
      </w:tr>
      <w:t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Card Valid = N, Balance Sufficient = Y</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N</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Y</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Transaction Declined – Invalid Card</w:t>
            </w:r>
          </w:p>
        </w:tc>
      </w:tr>
      <w:t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Card Valid = N, Balance Sufficient = N</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N</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N</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Transaction Declined – Invalid Card</w:t>
            </w:r>
          </w:p>
        </w:tc>
      </w:tr>
    </w:tbl>
    <w:p>
      <w:pPr>
        <w:spacing w:after="60" w:before="160"/>
      </w:pPr>
      <w:r>
        <w:rPr>
          <w:b/>
          <w:bCs/>
          <w:i w:val="false"/>
          <w:iCs w:val="false"/>
          <w:color w:val="000000"/>
          <w:sz w:val="20"/>
          <w:szCs w:val="20"/>
        </w:rPr>
        <w:t xml:space="preserve">5.4 State Transition Testing</w:t>
      </w:r>
    </w:p>
    <w:p>
      <w:pPr>
        <w:spacing w:after="100"/>
      </w:pPr>
      <w:r>
        <w:rPr>
          <w:b w:val="false"/>
          <w:bCs w:val="false"/>
          <w:i w:val="false"/>
          <w:iCs w:val="false"/>
          <w:color w:val="000000"/>
          <w:sz w:val="19"/>
          <w:szCs w:val="19"/>
        </w:rPr>
        <w:t xml:space="preserve">Applied to the Appointment lifecycle, which moves through a defined set of states triggered by user or system events. Related: TC-10, TC-11, TC-13.</w:t>
      </w:r>
    </w:p>
    <w:p>
      <w:pPr>
        <w:spacing w:after="60" w:before="40"/>
      </w:pPr>
      <w:r>
        <w:rPr>
          <w:b w:val="false"/>
          <w:bCs w:val="false"/>
          <w:i/>
          <w:iCs/>
          <w:color w:val="000000"/>
          <w:sz w:val="18"/>
          <w:szCs w:val="18"/>
        </w:rPr>
        <w:t xml:space="preserve">Example — Appointment State Transitions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gridCol w:w="2160"/>
      </w:tblGrid>
      <w:tr>
        <w:trPr>
          <w:tblHeader/>
        </w:trPr>
        <w:tc>
          <w:tcPr>
            <w:tcW w:type="dxa" w:w="216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6"/>
                <w:szCs w:val="16"/>
              </w:rPr>
              <w:t xml:space="preserve">Current State</w:t>
            </w:r>
          </w:p>
        </w:tc>
        <w:tc>
          <w:tcPr>
            <w:tcW w:type="dxa" w:w="216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6"/>
                <w:szCs w:val="16"/>
              </w:rPr>
              <w:t xml:space="preserve">Trigger Event</w:t>
            </w:r>
          </w:p>
        </w:tc>
        <w:tc>
          <w:tcPr>
            <w:tcW w:type="dxa" w:w="216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6"/>
                <w:szCs w:val="16"/>
              </w:rPr>
              <w:t xml:space="preserve">Next State</w:t>
            </w:r>
          </w:p>
        </w:tc>
      </w:tr>
      <w:tr>
        <w:tc>
          <w:tcPr>
            <w:tcW w:type="dxa" w:w="21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Scheduled</w:t>
            </w:r>
          </w:p>
        </w:tc>
        <w:tc>
          <w:tcPr>
            <w:tcW w:type="dxa" w:w="21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Doctor confirms</w:t>
            </w:r>
          </w:p>
        </w:tc>
        <w:tc>
          <w:tcPr>
            <w:tcW w:type="dxa" w:w="21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Confirmed</w:t>
            </w:r>
          </w:p>
        </w:tc>
      </w:tr>
      <w:tr>
        <w:tc>
          <w:tcPr>
            <w:tcW w:type="dxa" w:w="21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Confirmed</w:t>
            </w:r>
          </w:p>
        </w:tc>
        <w:tc>
          <w:tcPr>
            <w:tcW w:type="dxa" w:w="21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Consultation starts</w:t>
            </w:r>
          </w:p>
        </w:tc>
        <w:tc>
          <w:tcPr>
            <w:tcW w:type="dxa" w:w="21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In Progress</w:t>
            </w:r>
          </w:p>
        </w:tc>
      </w:tr>
      <w:tr>
        <w:tc>
          <w:tcPr>
            <w:tcW w:type="dxa" w:w="21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In Progress</w:t>
            </w:r>
          </w:p>
        </w:tc>
        <w:tc>
          <w:tcPr>
            <w:tcW w:type="dxa" w:w="21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Consultation ends</w:t>
            </w:r>
          </w:p>
        </w:tc>
        <w:tc>
          <w:tcPr>
            <w:tcW w:type="dxa" w:w="21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Completed</w:t>
            </w:r>
          </w:p>
        </w:tc>
      </w:tr>
      <w:tr>
        <w:tc>
          <w:tcPr>
            <w:tcW w:type="dxa" w:w="21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Confirmed</w:t>
            </w:r>
          </w:p>
        </w:tc>
        <w:tc>
          <w:tcPr>
            <w:tcW w:type="dxa" w:w="21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Patient/doctor cancels (within window)</w:t>
            </w:r>
          </w:p>
        </w:tc>
        <w:tc>
          <w:tcPr>
            <w:tcW w:type="dxa" w:w="21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Cancelled</w:t>
            </w:r>
          </w:p>
        </w:tc>
      </w:tr>
      <w:tr>
        <w:tc>
          <w:tcPr>
            <w:tcW w:type="dxa" w:w="21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Confirmed</w:t>
            </w:r>
          </w:p>
        </w:tc>
        <w:tc>
          <w:tcPr>
            <w:tcW w:type="dxa" w:w="21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No party joins by start time</w:t>
            </w:r>
          </w:p>
        </w:tc>
        <w:tc>
          <w:tcPr>
            <w:tcW w:type="dxa" w:w="21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No-Show</w:t>
            </w:r>
          </w:p>
        </w:tc>
      </w:tr>
    </w:tbl>
    <w:p>
      <w:pPr>
        <w:pStyle w:val="Heading1"/>
        <w:spacing w:after="120" w:before="260"/>
      </w:pPr>
      <w:r>
        <w:rPr>
          <w:color w:val="000000"/>
        </w:rPr>
        <w:t xml:space="preserve">6. Requirement Traceability Matrix (RTM)</w:t>
      </w:r>
    </w:p>
    <w:p>
      <w:pPr>
        <w:spacing w:after="100"/>
      </w:pPr>
      <w:r>
        <w:rPr>
          <w:b w:val="false"/>
          <w:bCs w:val="false"/>
          <w:i w:val="false"/>
          <w:iCs w:val="false"/>
          <w:color w:val="000000"/>
          <w:sz w:val="20"/>
          <w:szCs w:val="20"/>
        </w:rPr>
        <w:t xml:space="preserve">The RTM below maps each requirement to its corresponding test case(s), confirming full test coverage across the platform.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2700"/>
        <w:gridCol w:w="2500"/>
      </w:tblGrid>
      <w:tr>
        <w:trPr>
          <w:tblHeader/>
        </w:trPr>
        <w:tc>
          <w:tcPr>
            <w:tcW w:type="dxa" w:w="1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6"/>
                <w:szCs w:val="16"/>
              </w:rPr>
              <w:t xml:space="preserve">Requirement ID</w:t>
            </w:r>
          </w:p>
        </w:tc>
        <w:tc>
          <w:tcPr>
            <w:tcW w:type="dxa" w:w="43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6"/>
                <w:szCs w:val="16"/>
              </w:rPr>
              <w:t xml:space="preserve">Requirement Description</w:t>
            </w:r>
          </w:p>
        </w:tc>
        <w:tc>
          <w:tcPr>
            <w:tcW w:type="dxa" w:w="27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6"/>
                <w:szCs w:val="16"/>
              </w:rPr>
              <w:t xml:space="preserve">Mapped Test Case(s)</w:t>
            </w:r>
          </w:p>
        </w:tc>
        <w:tc>
          <w:tcPr>
            <w:tcW w:type="dxa" w:w="25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b/>
                <w:bCs/>
                <w:i w:val="false"/>
                <w:iCs w:val="false"/>
                <w:color w:val="000000"/>
                <w:sz w:val="16"/>
                <w:szCs w:val="16"/>
              </w:rPr>
              <w:t xml:space="preserve">Coverage Status</w:t>
            </w:r>
          </w:p>
        </w:tc>
      </w:tr>
      <w:t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val="false"/>
                <w:bCs w:val="false"/>
                <w:i w:val="false"/>
                <w:iCs w:val="false"/>
                <w:color w:val="000000"/>
                <w:sz w:val="16"/>
                <w:szCs w:val="16"/>
              </w:rPr>
              <w:t xml:space="preserve">FR1</w:t>
            </w:r>
          </w:p>
        </w:tc>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Patient Registration &amp; Profile Management</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TC-01, TC-02, TC-03, TC-04</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val="false"/>
                <w:bCs w:val="false"/>
                <w:i w:val="false"/>
                <w:iCs w:val="false"/>
                <w:color w:val="000000"/>
                <w:sz w:val="16"/>
                <w:szCs w:val="16"/>
              </w:rPr>
              <w:t xml:space="preserve">Covered</w:t>
            </w:r>
          </w:p>
        </w:tc>
      </w:tr>
      <w:t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val="false"/>
                <w:bCs w:val="false"/>
                <w:i w:val="false"/>
                <w:iCs w:val="false"/>
                <w:color w:val="000000"/>
                <w:sz w:val="16"/>
                <w:szCs w:val="16"/>
              </w:rPr>
              <w:t xml:space="preserve">FR2</w:t>
            </w:r>
          </w:p>
        </w:tc>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Doctor Registration &amp; Schedule Management</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TC-05</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val="false"/>
                <w:bCs w:val="false"/>
                <w:i w:val="false"/>
                <w:iCs w:val="false"/>
                <w:color w:val="000000"/>
                <w:sz w:val="16"/>
                <w:szCs w:val="16"/>
              </w:rPr>
              <w:t xml:space="preserve">Covered</w:t>
            </w:r>
          </w:p>
        </w:tc>
      </w:tr>
      <w:t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val="false"/>
                <w:bCs w:val="false"/>
                <w:i w:val="false"/>
                <w:iCs w:val="false"/>
                <w:color w:val="000000"/>
                <w:sz w:val="16"/>
                <w:szCs w:val="16"/>
              </w:rPr>
              <w:t xml:space="preserve">FR3</w:t>
            </w:r>
          </w:p>
        </w:tc>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Authentication &amp; RBAC</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TC-06, TC-07, TC-08, TC-09</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val="false"/>
                <w:bCs w:val="false"/>
                <w:i w:val="false"/>
                <w:iCs w:val="false"/>
                <w:color w:val="000000"/>
                <w:sz w:val="16"/>
                <w:szCs w:val="16"/>
              </w:rPr>
              <w:t xml:space="preserve">Covered</w:t>
            </w:r>
          </w:p>
        </w:tc>
      </w:tr>
      <w:t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val="false"/>
                <w:bCs w:val="false"/>
                <w:i w:val="false"/>
                <w:iCs w:val="false"/>
                <w:color w:val="000000"/>
                <w:sz w:val="16"/>
                <w:szCs w:val="16"/>
              </w:rPr>
              <w:t xml:space="preserve">FR4</w:t>
            </w:r>
          </w:p>
        </w:tc>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Appointment Booking &amp; Scheduling</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TC-10, TC-11, TC-12, TC-13</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val="false"/>
                <w:bCs w:val="false"/>
                <w:i w:val="false"/>
                <w:iCs w:val="false"/>
                <w:color w:val="000000"/>
                <w:sz w:val="16"/>
                <w:szCs w:val="16"/>
              </w:rPr>
              <w:t xml:space="preserve">Covered</w:t>
            </w:r>
          </w:p>
        </w:tc>
      </w:tr>
      <w:t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val="false"/>
                <w:bCs w:val="false"/>
                <w:i w:val="false"/>
                <w:iCs w:val="false"/>
                <w:color w:val="000000"/>
                <w:sz w:val="16"/>
                <w:szCs w:val="16"/>
              </w:rPr>
              <w:t xml:space="preserve">FR5</w:t>
            </w:r>
          </w:p>
        </w:tc>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Real-Time Video Consultation</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TC-14, TC-15</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val="false"/>
                <w:bCs w:val="false"/>
                <w:i w:val="false"/>
                <w:iCs w:val="false"/>
                <w:color w:val="000000"/>
                <w:sz w:val="16"/>
                <w:szCs w:val="16"/>
              </w:rPr>
              <w:t xml:space="preserve">Covered</w:t>
            </w:r>
          </w:p>
        </w:tc>
      </w:tr>
      <w:t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val="false"/>
                <w:bCs w:val="false"/>
                <w:i w:val="false"/>
                <w:iCs w:val="false"/>
                <w:color w:val="000000"/>
                <w:sz w:val="16"/>
                <w:szCs w:val="16"/>
              </w:rPr>
              <w:t xml:space="preserve">FR6</w:t>
            </w:r>
          </w:p>
        </w:tc>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Electronic Medical Records</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TC-16, TC-17</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val="false"/>
                <w:bCs w:val="false"/>
                <w:i w:val="false"/>
                <w:iCs w:val="false"/>
                <w:color w:val="000000"/>
                <w:sz w:val="16"/>
                <w:szCs w:val="16"/>
              </w:rPr>
              <w:t xml:space="preserve">Covered</w:t>
            </w:r>
          </w:p>
        </w:tc>
      </w:tr>
      <w:t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val="false"/>
                <w:bCs w:val="false"/>
                <w:i w:val="false"/>
                <w:iCs w:val="false"/>
                <w:color w:val="000000"/>
                <w:sz w:val="16"/>
                <w:szCs w:val="16"/>
              </w:rPr>
              <w:t xml:space="preserve">FR7</w:t>
            </w:r>
          </w:p>
        </w:tc>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Digital Prescription Management</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TC-18, TC-19</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val="false"/>
                <w:bCs w:val="false"/>
                <w:i w:val="false"/>
                <w:iCs w:val="false"/>
                <w:color w:val="000000"/>
                <w:sz w:val="16"/>
                <w:szCs w:val="16"/>
              </w:rPr>
              <w:t xml:space="preserve">Covered</w:t>
            </w:r>
          </w:p>
        </w:tc>
      </w:tr>
      <w:t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val="false"/>
                <w:bCs w:val="false"/>
                <w:i w:val="false"/>
                <w:iCs w:val="false"/>
                <w:color w:val="000000"/>
                <w:sz w:val="16"/>
                <w:szCs w:val="16"/>
              </w:rPr>
              <w:t xml:space="preserve">FR8</w:t>
            </w:r>
          </w:p>
        </w:tc>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Online Payment Processing</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TC-20, TC-21, TC-22</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val="false"/>
                <w:bCs w:val="false"/>
                <w:i w:val="false"/>
                <w:iCs w:val="false"/>
                <w:color w:val="000000"/>
                <w:sz w:val="16"/>
                <w:szCs w:val="16"/>
              </w:rPr>
              <w:t xml:space="preserve">Covered</w:t>
            </w:r>
          </w:p>
        </w:tc>
      </w:tr>
      <w:t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val="false"/>
                <w:bCs w:val="false"/>
                <w:i w:val="false"/>
                <w:iCs w:val="false"/>
                <w:color w:val="000000"/>
                <w:sz w:val="16"/>
                <w:szCs w:val="16"/>
              </w:rPr>
              <w:t xml:space="preserve">FR9</w:t>
            </w:r>
          </w:p>
        </w:tc>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Notifications &amp; Alerts</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TC-23</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val="false"/>
                <w:bCs w:val="false"/>
                <w:i w:val="false"/>
                <w:iCs w:val="false"/>
                <w:color w:val="000000"/>
                <w:sz w:val="16"/>
                <w:szCs w:val="16"/>
              </w:rPr>
              <w:t xml:space="preserve">Covered</w:t>
            </w:r>
          </w:p>
        </w:tc>
      </w:tr>
      <w:t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val="false"/>
                <w:bCs w:val="false"/>
                <w:i w:val="false"/>
                <w:iCs w:val="false"/>
                <w:color w:val="000000"/>
                <w:sz w:val="16"/>
                <w:szCs w:val="16"/>
              </w:rPr>
              <w:t xml:space="preserve">FR10</w:t>
            </w:r>
          </w:p>
        </w:tc>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Admin Dashboard &amp; User Management</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TC-24</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val="false"/>
                <w:bCs w:val="false"/>
                <w:i w:val="false"/>
                <w:iCs w:val="false"/>
                <w:color w:val="000000"/>
                <w:sz w:val="16"/>
                <w:szCs w:val="16"/>
              </w:rPr>
              <w:t xml:space="preserve">Covered</w:t>
            </w:r>
          </w:p>
        </w:tc>
      </w:tr>
      <w:t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val="false"/>
                <w:bCs w:val="false"/>
                <w:i w:val="false"/>
                <w:iCs w:val="false"/>
                <w:color w:val="000000"/>
                <w:sz w:val="16"/>
                <w:szCs w:val="16"/>
              </w:rPr>
              <w:t xml:space="preserve">NFR1 / NFR3</w:t>
            </w:r>
          </w:p>
        </w:tc>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Performance &amp; Reliability</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TC-14, TC-15, TC-25</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val="false"/>
                <w:bCs w:val="false"/>
                <w:i w:val="false"/>
                <w:iCs w:val="false"/>
                <w:color w:val="000000"/>
                <w:sz w:val="16"/>
                <w:szCs w:val="16"/>
              </w:rPr>
              <w:t xml:space="preserve">Covered</w:t>
            </w:r>
          </w:p>
        </w:tc>
      </w:tr>
      <w:t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val="false"/>
                <w:bCs w:val="false"/>
                <w:i w:val="false"/>
                <w:iCs w:val="false"/>
                <w:color w:val="000000"/>
                <w:sz w:val="16"/>
                <w:szCs w:val="16"/>
              </w:rPr>
              <w:t xml:space="preserve">NFR2 / NFR6</w:t>
            </w:r>
          </w:p>
        </w:tc>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Security &amp; Data Privacy</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TC-09, TC-17</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val="false"/>
                <w:bCs w:val="false"/>
                <w:i w:val="false"/>
                <w:iCs w:val="false"/>
                <w:color w:val="000000"/>
                <w:sz w:val="16"/>
                <w:szCs w:val="16"/>
              </w:rPr>
              <w:t xml:space="preserve">Covered</w:t>
            </w:r>
          </w:p>
        </w:tc>
      </w:tr>
      <w:t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val="false"/>
                <w:bCs w:val="false"/>
                <w:i w:val="false"/>
                <w:iCs w:val="false"/>
                <w:color w:val="000000"/>
                <w:sz w:val="16"/>
                <w:szCs w:val="16"/>
              </w:rPr>
              <w:t xml:space="preserve">NFR4</w:t>
            </w:r>
          </w:p>
        </w:tc>
        <w:tc>
          <w:tcPr>
            <w:tcW w:type="dxa" w:w="4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Scalability</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b w:val="false"/>
                <w:bCs w:val="false"/>
                <w:i w:val="false"/>
                <w:iCs w:val="false"/>
                <w:color w:val="000000"/>
                <w:sz w:val="16"/>
                <w:szCs w:val="16"/>
              </w:rPr>
              <w:t xml:space="preserve">TC-25</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b w:val="false"/>
                <w:bCs w:val="false"/>
                <w:i w:val="false"/>
                <w:iCs w:val="false"/>
                <w:color w:val="000000"/>
                <w:sz w:val="16"/>
                <w:szCs w:val="16"/>
              </w:rPr>
              <w:t xml:space="preserve">Covered</w:t>
            </w:r>
          </w:p>
        </w:tc>
      </w:tr>
    </w:tbl>
    <w:p>
      <w:pPr>
        <w:pStyle w:val="Heading1"/>
        <w:spacing w:after="120" w:before="260"/>
      </w:pPr>
      <w:r>
        <w:rPr>
          <w:color w:val="000000"/>
        </w:rPr>
        <w:t xml:space="preserve">7. Test Coverage Summary</w:t>
      </w:r>
    </w:p>
    <w:p>
      <w:pPr>
        <w:pStyle w:val="ListParagraph"/>
        <w:numPr>
          <w:ilvl w:val="0"/>
          <w:numId w:val="1"/>
        </w:numPr>
        <w:spacing w:after="100"/>
      </w:pPr>
      <w:r>
        <w:rPr>
          <w:b w:val="false"/>
          <w:bCs w:val="false"/>
          <w:i w:val="false"/>
          <w:iCs w:val="false"/>
          <w:color w:val="000000"/>
          <w:sz w:val="20"/>
          <w:szCs w:val="20"/>
        </w:rPr>
        <w:t xml:space="preserve">Total Requirements identified: 10 Functional + 6 Non-Functional = 16</w:t>
      </w:r>
    </w:p>
    <w:p>
      <w:pPr>
        <w:pStyle w:val="ListParagraph"/>
        <w:numPr>
          <w:ilvl w:val="0"/>
          <w:numId w:val="1"/>
        </w:numPr>
        <w:spacing w:after="100"/>
      </w:pPr>
      <w:r>
        <w:rPr>
          <w:b w:val="false"/>
          <w:bCs w:val="false"/>
          <w:i w:val="false"/>
          <w:iCs w:val="false"/>
          <w:color w:val="000000"/>
          <w:sz w:val="20"/>
          <w:szCs w:val="20"/>
        </w:rPr>
        <w:t xml:space="preserve">Total Test Cases designed: 25</w:t>
      </w:r>
    </w:p>
    <w:p>
      <w:pPr>
        <w:pStyle w:val="ListParagraph"/>
        <w:numPr>
          <w:ilvl w:val="0"/>
          <w:numId w:val="1"/>
        </w:numPr>
        <w:spacing w:after="100"/>
      </w:pPr>
      <w:r>
        <w:rPr>
          <w:b w:val="false"/>
          <w:bCs w:val="false"/>
          <w:i w:val="false"/>
          <w:iCs w:val="false"/>
          <w:color w:val="000000"/>
          <w:sz w:val="20"/>
          <w:szCs w:val="20"/>
        </w:rPr>
        <w:t xml:space="preserve">Requirement coverage achieved: 100% (all FRs and NFRs mapped to at least one test case)</w:t>
      </w:r>
    </w:p>
    <w:p>
      <w:pPr>
        <w:pStyle w:val="ListParagraph"/>
        <w:numPr>
          <w:ilvl w:val="0"/>
          <w:numId w:val="1"/>
        </w:numPr>
        <w:spacing w:after="100"/>
      </w:pPr>
      <w:r>
        <w:rPr>
          <w:b w:val="false"/>
          <w:bCs w:val="false"/>
          <w:i w:val="false"/>
          <w:iCs w:val="false"/>
          <w:color w:val="000000"/>
          <w:sz w:val="20"/>
          <w:szCs w:val="20"/>
        </w:rPr>
        <w:t xml:space="preserve">Condition coverage: Normal, Boundary, Invalid, and Exceptional conditions represented across all major modules</w:t>
      </w:r>
    </w:p>
    <w:p>
      <w:pPr>
        <w:pStyle w:val="ListParagraph"/>
        <w:numPr>
          <w:ilvl w:val="0"/>
          <w:numId w:val="1"/>
        </w:numPr>
        <w:spacing w:after="100"/>
      </w:pPr>
      <w:r>
        <w:rPr>
          <w:b w:val="false"/>
          <w:bCs w:val="false"/>
          <w:i w:val="false"/>
          <w:iCs w:val="false"/>
          <w:color w:val="000000"/>
          <w:sz w:val="20"/>
          <w:szCs w:val="20"/>
        </w:rPr>
        <w:t xml:space="preserve">Test design techniques applied: Equivalence Partitioning, Boundary Value Analysis, Decision Table Testing, State Transition Testing</w:t>
      </w:r>
    </w:p>
    <w:p>
      <w:pPr>
        <w:pStyle w:val="ListParagraph"/>
        <w:numPr>
          <w:ilvl w:val="0"/>
          <w:numId w:val="1"/>
        </w:numPr>
        <w:spacing w:after="100"/>
      </w:pPr>
      <w:r>
        <w:rPr>
          <w:b w:val="false"/>
          <w:bCs w:val="false"/>
          <w:i w:val="false"/>
          <w:iCs w:val="false"/>
          <w:color w:val="000000"/>
          <w:sz w:val="20"/>
          <w:szCs w:val="20"/>
        </w:rPr>
        <w:t xml:space="preserve">Security-focused test cases: TC-09, TC-17 (role-based access and unauthorized record access)</w:t>
      </w:r>
    </w:p>
    <w:p>
      <w:pPr>
        <w:pStyle w:val="ListParagraph"/>
        <w:numPr>
          <w:ilvl w:val="0"/>
          <w:numId w:val="1"/>
        </w:numPr>
        <w:spacing w:after="100"/>
      </w:pPr>
      <w:r>
        <w:rPr>
          <w:b w:val="false"/>
          <w:bCs w:val="false"/>
          <w:i w:val="false"/>
          <w:iCs w:val="false"/>
          <w:color w:val="000000"/>
          <w:sz w:val="20"/>
          <w:szCs w:val="20"/>
        </w:rPr>
        <w:t xml:space="preserve">Performance-focused test case: TC-25 (concurrent video consultation load)</w:t>
      </w:r>
    </w:p>
    <w:sectPr>
      <w:headerReference w:type="default" r:id="rId7"/>
      <w:footerReference w:type="default" r:id="rId8"/>
      <w:pgSz w:w="12240" w:h="15840"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4"/>
        <w:szCs w:val="14"/>
      </w:rPr>
      <w:t xml:space="preserve">Page </w:t>
    </w:r>
    <w:r>
      <w:rPr>
        <w:color w:val="595959"/>
        <w:sz w:val="14"/>
        <w:szCs w:val="14"/>
      </w:rPr>
      <w:fldChar w:fldCharType="begin"/>
      <w:instrText xml:space="preserve">PAGE</w:instrText>
      <w:fldChar w:fldCharType="separate"/>
      <w:fldChar w:fldCharType="end"/>
    </w:r>
    <w:r>
      <w:rPr>
        <w:color w:val="595959"/>
        <w:sz w:val="14"/>
        <w:szCs w:val="14"/>
      </w:rPr>
      <w:t xml:space="preserve"> of </w:t>
    </w:r>
    <w:r>
      <w:rPr>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4"/>
        <w:szCs w:val="14"/>
      </w:rPr>
      <w:t xml:space="preserve">AT1 – Test Case Design | Telemedicine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4"/>
      </w:pBdr>
      <w:spacing w:after="120" w:before="260"/>
    </w:pPr>
    <w:rPr>
      <w:rFonts w:ascii="Calibri" w:cs="Calibri" w:eastAsia="Calibri" w:hAnsi="Calibri"/>
      <w:b/>
      <w:bCs/>
      <w:color w:val="000000"/>
      <w:sz w:val="26"/>
      <w:szCs w:val="26"/>
    </w:rPr>
  </w:style>
  <w:style w:type="paragraph" w:styleId="Heading2">
    <w:name w:val="Heading 2"/>
    <w:basedOn w:val="Normal"/>
    <w:next w:val="Normal"/>
    <w:qFormat/>
    <w:pPr>
      <w:spacing w:after="100" w:before="180"/>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2026-08-17T08:29:09.380Z</dcterms:created>
  <dcterms:modified xsi:type="dcterms:W3CDTF">2026-08-17T08:29:09.380Z</dcterms:modified>
</cp:coreProperties>
</file>

<file path=docProps/custom.xml><?xml version="1.0" encoding="utf-8"?>
<Properties xmlns="http://schemas.openxmlformats.org/officeDocument/2006/custom-properties" xmlns:vt="http://schemas.openxmlformats.org/officeDocument/2006/docPropsVTypes"/>
</file>