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000000"/>
          <w:sz w:val="26"/>
          <w:szCs w:val="26"/>
        </w:rPr>
        <w:t xml:space="preserve">SIMATS ENGINEERING (SAVEETHA SCHOOL OF ENGINEERING)</w:t>
      </w:r>
    </w:p>
    <w:p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 xml:space="preserve">Department of Computer Science and Engineering</w:t>
      </w:r>
    </w:p>
    <w:p>
      <w:pPr>
        <w:spacing w:after="200"/>
        <w:jc w:val="center"/>
      </w:pPr>
      <w:r>
        <w:rPr>
          <w:b/>
          <w:bCs/>
          <w:color w:val="000000"/>
          <w:sz w:val="24"/>
          <w:szCs w:val="24"/>
        </w:rPr>
        <w:t xml:space="preserve">CO4 ASSESSMENT TOOL 2 — CI/CD PIPELINE DESIGN EXERCISE</w:t>
      </w:r>
    </w:p>
    <w:p>
      <w:pPr>
        <w:spacing w:after="200"/>
        <w:jc w:val="center"/>
      </w:pPr>
      <w:r>
        <w:rPr>
          <w:b/>
          <w:bCs/>
          <w:i/>
          <w:iCs/>
          <w:color w:val="000000"/>
          <w:sz w:val="22"/>
          <w:szCs w:val="22"/>
        </w:rPr>
        <w:t xml:space="preserve">Problem Statement 21: Telemedicine Platform for Virtual Doctor Consultations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Course Code: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CSA10 / CSA1063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Course Title: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Software Engineering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CO Assessed: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CO4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Assessment: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AT2 – CI/CD Pipeline Design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Weightage: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Total Marks: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Problem Statement No.: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Duration: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60 minutes</w:t>
            </w:r>
          </w:p>
        </w:tc>
      </w:tr>
    </w:tbl>
    <w:p>
      <w:pPr>
        <w:spacing w:after="60" w:before="200"/>
      </w:pPr>
      <w:r>
        <w:rPr>
          <w:b/>
          <w:bCs/>
          <w:color w:val="000000"/>
          <w:sz w:val="19"/>
          <w:szCs w:val="19"/>
        </w:rPr>
        <w:t xml:space="preserve">CO4 Statement: </w:t>
      </w:r>
      <w:r>
        <w:rPr>
          <w:color w:val="000000"/>
          <w:sz w:val="19"/>
          <w:szCs w:val="19"/>
        </w:rPr>
        <w:t xml:space="preserve">Implement robust testing, quality assurance, and DevOps practices, emphasizing security, reliability, and ethics.</w:t>
      </w:r>
    </w:p>
    <w:p>
      <w:pPr>
        <w:spacing w:after="80"/>
      </w:pPr>
      <w:r>
        <w:rPr>
          <w:b/>
          <w:bCs/>
          <w:color w:val="000000"/>
          <w:sz w:val="20"/>
          <w:szCs w:val="20"/>
        </w:rPr>
        <w:t xml:space="preserve">Student Name: </w:t>
      </w:r>
      <w:r>
        <w:rPr>
          <w:color w:val="000000"/>
          <w:sz w:val="20"/>
          <w:szCs w:val="20"/>
        </w:rPr>
        <w:t xml:space="preserve">________________________________</w:t>
      </w:r>
    </w:p>
    <w:p>
      <w:pPr>
        <w:spacing w:after="80"/>
      </w:pPr>
      <w:r>
        <w:rPr>
          <w:b/>
          <w:bCs/>
          <w:color w:val="000000"/>
          <w:sz w:val="20"/>
          <w:szCs w:val="20"/>
        </w:rPr>
        <w:t xml:space="preserve">Register Number: </w:t>
      </w:r>
      <w:r>
        <w:rPr>
          <w:color w:val="000000"/>
          <w:sz w:val="20"/>
          <w:szCs w:val="20"/>
        </w:rPr>
        <w:t xml:space="preserve">________________________________</w:t>
      </w:r>
    </w:p>
    <w:p>
      <w:pPr>
        <w:spacing w:after="80"/>
      </w:pPr>
      <w:r>
        <w:rPr>
          <w:b/>
          <w:bCs/>
          <w:color w:val="000000"/>
          <w:sz w:val="20"/>
          <w:szCs w:val="20"/>
        </w:rPr>
        <w:t xml:space="preserve">Date: </w:t>
      </w:r>
      <w:r>
        <w:rPr>
          <w:color w:val="000000"/>
          <w:sz w:val="20"/>
          <w:szCs w:val="20"/>
        </w:rPr>
        <w:t xml:space="preserve">________________________</w:t>
      </w:r>
    </w:p>
    <w:p>
      <w:pPr>
        <w:pStyle w:val="Heading2"/>
        <w:spacing w:after="120" w:before="260"/>
      </w:pPr>
      <w:r>
        <w:rPr>
          <w:color w:val="000000"/>
        </w:rPr>
        <w:t xml:space="preserve">Code of Conduct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I ______________________________________ (Name / Reg. No.) certify that this submission is my original work and that I have adhered to the guidelines specified for this assessment. I understand that any violation of academic integrity rules will result in disciplinary action.</w:t>
      </w:r>
    </w:p>
    <w:p>
      <w:pPr>
        <w:spacing w:after="80"/>
      </w:pPr>
      <w:r>
        <w:rPr>
          <w:b/>
          <w:bCs/>
          <w:color w:val="000000"/>
          <w:sz w:val="20"/>
          <w:szCs w:val="20"/>
        </w:rPr>
        <w:t xml:space="preserve">Signature of the Student: </w:t>
      </w:r>
      <w:r>
        <w:rPr>
          <w:color w:val="000000"/>
          <w:sz w:val="20"/>
          <w:szCs w:val="20"/>
        </w:rPr>
        <w:t xml:space="preserve">________________________________</w:t>
      </w:r>
    </w:p>
    <w:p>
      <w:r>
        <w:br w:type="page"/>
      </w:r>
    </w:p>
    <w:p>
      <w:pPr>
        <w:pStyle w:val="Heading1"/>
        <w:spacing w:after="120" w:before="260"/>
      </w:pPr>
      <w:r>
        <w:rPr>
          <w:color w:val="000000"/>
        </w:rPr>
        <w:t xml:space="preserve">1. Requirement Analysis and CI/CD Needs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Telemedicine Platform is a multi-module healthcare system comprising patient/doctor portals, appointment scheduling, real-time video consultation, electronic medical records (EMR), digital prescriptions, payments, and notifications. Because it handles sensitive health data and time-critical services (live video calls), its CI/CD needs are shaped by the following factors: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Frequent, incremental releases across independently deployable modules (microservices) without disrupting live consultations.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Strict security and compliance validation (data encryption, access control, vulnerability scanning) on every build, given healthcare data sensitivity.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High reliability requirements — video consultation and payment services need near-zero-downtime deployment strategies.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Automated, repeatable testing (unit, integration, API, security, performance) to catch regressions before they reach patients or doctors.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Fast feedback and rollback mechanisms, since undetected defects in a healthcare platform carry higher risk than in typical consumer apps.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Traceable change management — every deployment should be linked back to a tracked requirement or issue for audit and compliance purposes.</w:t>
      </w:r>
    </w:p>
    <w:p>
      <w:pPr>
        <w:pStyle w:val="Heading1"/>
        <w:spacing w:after="120" w:before="260"/>
      </w:pPr>
      <w:r>
        <w:rPr>
          <w:color w:val="000000"/>
        </w:rPr>
        <w:t xml:space="preserve">2. System Modules Considered in the Pipeline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platform follows a modular/microservices-style architecture. The CI/CD pipeline is designed to build, test, and deploy the following modules independently:</w:t>
      </w:r>
    </w:p>
    <w:p>
      <w:pPr>
        <w:spacing w:after="100"/>
      </w:pPr>
      <w:r>
        <w:rPr>
          <w:b w:val="false"/>
          <w:bCs w:val="false"/>
          <w:i/>
          <w:iCs/>
          <w:color w:val="000000"/>
          <w:sz w:val="20"/>
          <w:szCs w:val="20"/>
        </w:rPr>
        <w:t xml:space="preserve">Auth &amp; RBAC Service · Patient Portal · Doctor Portal · Appointment &amp; Scheduling Service · Video Consultation Service · EMR Service · Prescription Service · Payment Service · Notification Service · Admin Dashboard</w:t>
      </w:r>
    </w:p>
    <w:p>
      <w:pPr>
        <w:pStyle w:val="Heading1"/>
        <w:spacing w:after="120" w:before="260"/>
      </w:pPr>
      <w:r>
        <w:rPr>
          <w:color w:val="000000"/>
        </w:rPr>
        <w:t xml:space="preserve">3. CI/CD Pipeline Architecture Diagram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19"/>
          <w:szCs w:val="19"/>
        </w:rPr>
        <w:t xml:space="preserve">Figure 1 shows the end-to-end pipeline flow from code commit to production deployment (rendered in black and white).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3"/>
        <w:gridCol w:w="260"/>
        <w:gridCol w:w="1543"/>
        <w:gridCol w:w="260"/>
        <w:gridCol w:w="1543"/>
        <w:gridCol w:w="260"/>
        <w:gridCol w:w="1543"/>
        <w:gridCol w:w="260"/>
        <w:gridCol w:w="1543"/>
        <w:gridCol w:w="260"/>
        <w:gridCol w:w="1543"/>
      </w:tblGrid>
      <w:tr>
        <w:tc>
          <w:tcPr>
            <w:tcW w:type="dxa" w:w="1543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1. SOURCE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Git commit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Pull request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Branch merge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→</w:t>
            </w:r>
          </w:p>
        </w:tc>
        <w:tc>
          <w:tcPr>
            <w:tcW w:type="dxa" w:w="1543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2. BUILD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Compile code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Install deps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Build Docker image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→</w:t>
            </w:r>
          </w:p>
        </w:tc>
        <w:tc>
          <w:tcPr>
            <w:tcW w:type="dxa" w:w="1543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3. TEST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Unit tests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Integration tests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API tests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→</w:t>
            </w:r>
          </w:p>
        </w:tc>
        <w:tc>
          <w:tcPr>
            <w:tcW w:type="dxa" w:w="1543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4. QUALITY &amp; SECURITY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SonarQube scan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SAST / DAST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Dependency check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→</w:t>
            </w:r>
          </w:p>
        </w:tc>
        <w:tc>
          <w:tcPr>
            <w:tcW w:type="dxa" w:w="1543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5. PACKAGE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Tag image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Push to registry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Version artifact</w:t>
            </w:r>
          </w:p>
        </w:tc>
        <w:tc>
          <w:tcPr>
            <w:tcW w:type="dxa" w:w="260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28"/>
                <w:szCs w:val="28"/>
              </w:rPr>
              <w:t xml:space="preserve">→</w:t>
            </w:r>
          </w:p>
        </w:tc>
        <w:tc>
          <w:tcPr>
            <w:tcW w:type="dxa" w:w="1543"/>
            <w:tcBorders>
              <w:top w:val="single" w:color="000000" w:sz="10"/>
              <w:left w:val="single" w:color="000000" w:sz="10"/>
              <w:bottom w:val="single" w:color="000000" w:sz="10"/>
              <w:right w:val="single" w:color="000000" w:sz="10"/>
            </w:tcBorders>
            <w:shd w:fill="FFFFFF" w:color="auto" w:val="clear"/>
            <w:tcMar>
              <w:top w:type="dxa" w:w="80"/>
              <w:left w:type="dxa" w:w="60"/>
              <w:bottom w:type="dxa" w:w="80"/>
              <w:right w:type="dxa" w:w="60"/>
            </w:tcMar>
            <w:vAlign w:val="top"/>
          </w:tcPr>
          <w:p>
            <w:pPr>
              <w:spacing w:after="60"/>
              <w:jc w:val="center"/>
            </w:pPr>
            <w:r>
              <w:rPr>
                <w:b/>
                <w:bCs/>
                <w:color w:val="000000"/>
                <w:sz w:val="16"/>
                <w:szCs w:val="16"/>
              </w:rPr>
              <w:t xml:space="preserve">6. DEPLOY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Dev → Staging → Prod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Blue-Green / Canary</w:t>
            </w:r>
          </w:p>
          <w:p>
            <w:pPr>
              <w:spacing w:after="20"/>
              <w:jc w:val="center"/>
            </w:pPr>
            <w:r>
              <w:rPr>
                <w:color w:val="000000"/>
                <w:sz w:val="13"/>
                <w:szCs w:val="13"/>
              </w:rPr>
              <w:t xml:space="preserve">• Health checks</w:t>
            </w:r>
          </w:p>
        </w:tc>
      </w:tr>
    </w:tbl>
    <w:p>
      <w:pPr>
        <w:spacing w:after="100" w:before="80"/>
        <w:jc w:val="center"/>
      </w:pPr>
      <w:r>
        <w:rPr>
          <w:i/>
          <w:iCs/>
          <w:color w:val="000000"/>
          <w:sz w:val="16"/>
          <w:szCs w:val="16"/>
        </w:rPr>
        <w:t xml:space="preserve">Figure 1: CI/CD Pipeline — Commit to Deployment</w:t>
      </w:r>
    </w:p>
    <w:p>
      <w:pPr>
        <w:pStyle w:val="Heading1"/>
        <w:spacing w:after="120" w:before="260"/>
      </w:pPr>
      <w:r>
        <w:rPr>
          <w:color w:val="000000"/>
        </w:rPr>
        <w:t xml:space="preserve">4. Workflow Explanation — Code Commit to Deployment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1. A developer commits code to a feature branch and raises a Pull Request against the develop branch in Git (GitHub), referencing the relevant Jira ticket ID in the commit message for traceability.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2. The CI server (Jenkins / GitHub Actions) automatically triggers a build on every push and PR — installing dependencies, compiling the affected microservice, and building a Docker image.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3. Automated tests run in sequence: unit tests (JUnit / Jest), integration tests, and API contract tests (Postman/Newman) against the build.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4. Static code analysis (SonarQube) and security scans (OWASP Dependency-Check, SAST/DAST) run as quality gates; the build fails and the pipeline halts if thresholds (e.g., code coverage &lt; 80%, critical vulnerabilities found) are not met.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5. On success, the Docker image is tagged with the build/version number and pushed to a container registry (Docker Hub / Nexus).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6. The pipeline auto-deploys the new image to the Development environment for immediate verification.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7. After manual approval (gated), the build is promoted to the Staging environment, which mirrors production, for User Acceptance Testing (UAT) and performance testing (JMeter).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8. On sign-off, the release is promoted to Production using a Blue-Green or Canary deployment strategy via Kubernetes/Helm, minimizing downtime for live modules such as Video Consultation and Payment.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9. Post-deployment health checks and monitoring (Prometheus/Grafana) verify system stability; if checks fail, the pipeline automatically rolls back to the last stable release.</w:t>
      </w:r>
    </w:p>
    <w:p>
      <w:pPr>
        <w:spacing w:after="9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10. Notifications of build, test, and deployment status are sent to the team via Slack/Email, and the linked Jira ticket is auto-updated; pipeline documentation and release notes are maintained in Confluence.</w:t>
      </w:r>
    </w:p>
    <w:p>
      <w:pPr>
        <w:pStyle w:val="Heading1"/>
        <w:spacing w:after="120" w:before="260"/>
      </w:pPr>
      <w:r>
        <w:rPr>
          <w:color w:val="000000"/>
        </w:rPr>
        <w:t xml:space="preserve">5. Tools and Technology Selection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Each pipeline stage uses tools selected for reliability, ecosystem maturity, and suitability to a healthcare-grade system: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600"/>
        <w:gridCol w:w="6300"/>
      </w:tblGrid>
      <w:tr>
        <w:trPr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Pipeline Stage / Purpose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Tool(s) Selected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Justification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Source Control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Git + GitHub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Industry-standard distributed version control with branch protection, code review (PR) workflow, and native CI integration.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Issue Tracking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Jira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Links every commit/PR/deployment to a tracked user story or defect, giving full audit traceability required for a healthcare system.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Documentation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Confluence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Central, versioned space for pipeline documentation, release notes, and runbooks accessible to the whole team.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CI Orchestration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Jenkins / GitHub Actions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Automates build-test-deploy triggers on every commit; wide plugin ecosystem for integrating quality/security tools.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Build Tool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Maven / npm (per service)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Standard build/dependency management tools matching the Java (backend) and JavaScript/React (frontend) stack.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Code Quality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SonarQube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Enforces code quality gates (coverage, duplication, code smells) automatically before merge/deploy.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Security Scanning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OWASP ZAP, OWASP Dependency-Check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Detects vulnerable dependencies and runtime security flaws — critical given the platform stores protected health information.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Unit/Integration Testing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JUnit, Jest, Selenium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Automates functional regression testing across backend services and frontend portals.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API Testing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Postman / Newman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Validates REST API contracts between microservices (e.g., Appointment ↔ Video Consultation ↔ EMR) in CI.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Performance Testing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Apache JMeter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Simulates concurrent video-consultation and appointment-booking load to validate NFR performance targets.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Containerization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Packages each microservice with its dependencies for consistent behaviour across Dev, Staging, and Prod.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Artifact Registry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Docker Hub / Nexus Repository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Stores versioned, immutable container images for traceable, repeatable deployments.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Orchestration &amp; Deployment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Kubernetes + Helm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Automates scalable deployment, self-healing, and Blue-Green/Canary rollout of containerized microservices.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Configuration Management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Ansible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Manages environment configuration and secrets consistently across Dev/Staging/Prod without manual drift.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Secrets Management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HashiCorp Vault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Centrally secures API keys, database credentials, and payment gateway secrets outside source code.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Monitoring &amp; Alerting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Prometheus + Grafana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Provides real-time dashboards and alerts for service health, latency, and uptime SLAs.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Notifications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Slack / Email (via CI webhooks)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Gives the team immediate feedback on build, test, and deployment status.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UI/UX Design &amp; Review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Figma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in earlier SDLC stages to prototype and review patient/doctor portal UI before implementation, ensuring UI changes tested in the pipeline match approved designs.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i w:val="false"/>
                <w:iCs w:val="false"/>
                <w:color w:val="000000"/>
                <w:sz w:val="16"/>
                <w:szCs w:val="16"/>
              </w:rPr>
              <w:t xml:space="preserve">Architecture Modelling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UML (via draw.io / Raptor for flowcharts)</w:t>
            </w:r>
          </w:p>
        </w:tc>
        <w:tc>
          <w:tcPr>
            <w:tcW w:type="dxa" w:w="6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Used to model system architecture, sequence diagrams (e.g., consultation booking flow), and pipeline flowcharts for documentation.</w:t>
            </w:r>
          </w:p>
        </w:tc>
      </w:tr>
    </w:tbl>
    <w:p>
      <w:pPr>
        <w:pStyle w:val="Heading1"/>
        <w:spacing w:after="120" w:before="260"/>
      </w:pPr>
      <w:r>
        <w:rPr>
          <w:color w:val="000000"/>
        </w:rPr>
        <w:t xml:space="preserve">6. Automated Testing Strategy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52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Testing Type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When Executed in Pipeline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Unit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Every commit (CI build)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Validates individual functions/classes (e.g., appointment slot validation, prescription dosage validation) using JUnit/Jest; target ≥80% code coverage enforced via SonarQube gate.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Integration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 merge to develop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Verifies interaction between services, e.g., Appointment Service correctly triggers Notification Service and updates EMR linkage.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API / Contract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On merge to develop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Postman/Newman collections validate REST contracts between Patient Portal, Doctor Portal, and backend services.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Security Testing (SAST/DAST)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Every build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Static analysis of source code plus dynamic scanning (OWASP ZAP) of running staging build to catch injection, auth bypass, and data-exposure risks.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Performance/Load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Before production promotion (staging)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JMeter simulates concurrent video consultations and bookings to validate latency and stability NFRs.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User Acceptance Testing (UAT)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Staging, before release approval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Manual/exploratory testing by QA and stakeholders on a production-like environment prior to sign-off.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Smoke Testing</w:t>
            </w:r>
          </w:p>
        </w:tc>
        <w:tc>
          <w:tcPr>
            <w:tcW w:type="dxa" w:w="3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Immediately post-deployment (all environments)</w:t>
            </w:r>
          </w:p>
        </w:tc>
        <w:tc>
          <w:tcPr>
            <w:tcW w:type="dxa" w:w="5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Quick automated checks confirming critical flows (login, booking, video call start) work after each deployment.</w:t>
            </w:r>
          </w:p>
        </w:tc>
      </w:tr>
    </w:tbl>
    <w:p>
      <w:pPr>
        <w:pStyle w:val="Heading1"/>
        <w:spacing w:after="120" w:before="260"/>
      </w:pPr>
      <w:r>
        <w:rPr>
          <w:color w:val="000000"/>
        </w:rPr>
        <w:t xml:space="preserve">7. Deployment Strategy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pipeline promotes builds through three progressively production-like environments, gated by automated checks and manual approvals: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00"/>
        <w:gridCol w:w="5000"/>
      </w:tblGrid>
      <w:tr>
        <w:trPr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Environment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Deployment Trigger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i w:val="false"/>
                <w:iCs w:val="false"/>
                <w:color w:val="000000"/>
                <w:sz w:val="17"/>
                <w:szCs w:val="17"/>
              </w:rPr>
              <w:t xml:space="preserve">Strategy &amp; Rationale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Development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Auto-deployed on every successful merge to develop branch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Rapid feedback for developers; uses in-memory/sandbox data, no real patient data.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Staging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Auto-deployed after Dev validation, gated by manual approval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Mirrors production configuration; used for UAT, performance testing, and final security sign-off with masked/synthetic patient data.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Production</w:t>
            </w:r>
          </w:p>
        </w:tc>
        <w:tc>
          <w:tcPr>
            <w:tcW w:type="dxa" w:w="3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Manually approved promotion from Staging using Blue-Green (default) or Canary (for Video Consultation &amp; Payment services)</w:t>
            </w:r>
          </w:p>
        </w:tc>
        <w:tc>
          <w:tcPr>
            <w:tcW w:type="dxa" w:w="5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color w:val="000000"/>
                <w:sz w:val="16"/>
                <w:szCs w:val="16"/>
              </w:rPr>
              <w:t xml:space="preserve">Blue-Green keeps a full standby environment for instant traffic switch and instant rollback; Canary gradually routes a small % of real traffic to validate high-risk services before full rollout.</w:t>
            </w:r>
          </w:p>
        </w:tc>
      </w:tr>
    </w:tbl>
    <w:p>
      <w:pPr>
        <w:pStyle w:val="Heading1"/>
        <w:spacing w:after="120" w:before="260"/>
      </w:pPr>
      <w:r>
        <w:rPr>
          <w:color w:val="000000"/>
        </w:rPr>
        <w:t xml:space="preserve">8. Security, Quality Gates, Notifications, and Rollback Mechanisms</w:t>
      </w:r>
    </w:p>
    <w:p>
      <w:pPr>
        <w:spacing w:after="10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8.1 Quality Gates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Build fails automatically if unit test coverage falls below 80% or if SonarQube flags critical code smells/bugs.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Deployment to Staging/Production is blocked if OWASP dependency or DAST scans report critical/high vulnerabilities.</w:t>
      </w:r>
    </w:p>
    <w:p>
      <w:pPr>
        <w:spacing w:after="80" w:before="1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8.2 Security Practices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data encrypted in transit (TLS 1.2+) and at rest (AES-256), particularly for EMR and payment records.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Secrets (DB credentials, payment gateway keys) stored in HashiCorp Vault — never committed to source control.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Role-Based Access Control (RBAC) enforced at API gateway level for Patient/Doctor/Admin roles.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Regular dependency and container image vulnerability scans integrated into the pipeline (shift-left security).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Audit logging of access to medical records to support compliance requirements.</w:t>
      </w:r>
    </w:p>
    <w:p>
      <w:pPr>
        <w:spacing w:after="80" w:before="1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8.3 Notifications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Slack/Email alerts triggered on build failure, quality-gate failure, and deployment success/failure.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Linked Jira tickets automatically updated with build/deployment status for traceability.</w:t>
      </w:r>
    </w:p>
    <w:p>
      <w:pPr>
        <w:spacing w:after="80" w:before="140"/>
      </w:pPr>
      <w:r>
        <w:rPr>
          <w:b/>
          <w:bCs/>
          <w:i w:val="false"/>
          <w:iCs w:val="false"/>
          <w:color w:val="000000"/>
          <w:sz w:val="20"/>
          <w:szCs w:val="20"/>
        </w:rPr>
        <w:t xml:space="preserve">8.4 Rollback Strategy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Blue-Green deployment allows instant traffic switch-back to the previous stable environment if post-deployment health checks fail.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Kubernetes rolling-update rollback (kubectl rollout undo) reverts a faulty release automatically on failed liveness/readiness probes.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Database migrations are written with paired rollback scripts to safely reverse schema changes if needed.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All rollbacks are logged and trigger an automatic notification and Jira ticket for post-incident review.</w:t>
      </w:r>
    </w:p>
    <w:p>
      <w:pPr>
        <w:pStyle w:val="Heading1"/>
        <w:spacing w:after="120" w:before="260"/>
      </w:pPr>
      <w:r>
        <w:rPr>
          <w:color w:val="000000"/>
        </w:rPr>
        <w:t xml:space="preserve">9. Summary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000000"/>
          <w:sz w:val="20"/>
          <w:szCs w:val="20"/>
        </w:rPr>
        <w:t xml:space="preserve">The proposed CI/CD pipeline automates the Telemedicine Platform's journey from code commit to production deployment across Source, Build, Test, Quality &amp; Security, Package, and Deploy stages. It integrates industry-standard tools (Git, Jenkins/GitHub Actions, SonarQube, Docker, Kubernetes) alongside collaboration and traceability tools (Jira, Confluence, Figma, UML) to ensure fast, secure, and reliable delivery. Blue-Green and Canary deployment strategies, combined with automated quality gates and rollback mechanisms, minimize downtime risk for critical live services such as video consultations and payments — meeting the platform's core requirements of security, reliability, and scalability.</w:t>
      </w:r>
    </w:p>
    <w:sectPr>
      <w:headerReference w:type="default" r:id="rId7"/>
      <w:footerReference w:type="default" r:id="rId8"/>
      <w:pgSz w:w="12240" w:h="15840" w:orient="portrait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4"/>
        <w:szCs w:val="14"/>
      </w:rPr>
      <w:t xml:space="preserve">Page </w:t>
    </w:r>
    <w:r>
      <w:rPr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4"/>
        <w:szCs w:val="14"/>
      </w:rPr>
      <w:t xml:space="preserve"> of </w:t>
    </w:r>
    <w:r>
      <w:rPr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4"/>
        <w:szCs w:val="14"/>
      </w:rPr>
      <w:t xml:space="preserve">AT2 – CI/CD Pipeline Design | Telemedicine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0000" w:sz="6" w:space="4"/>
      </w:pBdr>
      <w:spacing w:after="120" w:before="260"/>
    </w:pPr>
    <w:rPr>
      <w:rFonts w:ascii="Calibri" w:cs="Calibri" w:eastAsia="Calibri" w:hAnsi="Calibri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180"/>
    </w:pPr>
    <w:rPr>
      <w:rFonts w:ascii="Calibri" w:cs="Calibri" w:eastAsia="Calibri" w:hAnsi="Calibri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2026-08-17T08:29:09.933Z</dcterms:created>
  <dcterms:modified xsi:type="dcterms:W3CDTF">2026-08-17T08:29:09.933Z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