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E35" w:rsidRDefault="004545F7">
      <w:r>
        <w:t>Dylan Hutchison</w:t>
      </w:r>
    </w:p>
    <w:p w:rsidR="004545F7" w:rsidRDefault="004545F7">
      <w:r>
        <w:t>Calenda</w:t>
      </w:r>
      <w:r w:rsidR="00A2741D">
        <w:t xml:space="preserve">r Rotation Strategy </w:t>
      </w:r>
      <w:proofErr w:type="spellStart"/>
      <w:r w:rsidR="00A2741D">
        <w:t>Backtesting</w:t>
      </w:r>
      <w:proofErr w:type="spellEnd"/>
    </w:p>
    <w:p w:rsidR="004545F7" w:rsidRDefault="004545F7" w:rsidP="001F55D5">
      <w:pPr>
        <w:pStyle w:val="Heading1"/>
      </w:pPr>
      <w:r>
        <w:t>Introduction</w:t>
      </w:r>
      <w:r w:rsidR="00997F41">
        <w:t xml:space="preserve"> &amp; Motivation</w:t>
      </w:r>
    </w:p>
    <w:p w:rsidR="004545F7" w:rsidRDefault="004545F7">
      <w:r>
        <w:tab/>
        <w:t xml:space="preserve">After reading several articles [1] and mutual fund sources [2] online, I wanted to test the strength of a long-term investment strategy that holds stock during the winter months (October – March) and bonds during the summer months (May </w:t>
      </w:r>
      <w:r w:rsidR="00B653A6">
        <w:t>–</w:t>
      </w:r>
      <w:r>
        <w:t xml:space="preserve"> </w:t>
      </w:r>
      <w:r w:rsidR="00B653A6">
        <w:t>September).</w:t>
      </w:r>
      <w:r w:rsidR="00997F41">
        <w:t xml:space="preserve">  The idea is that over the long run, stocks perform better during the summer months and tend to lag during the winter month.  Here are two figures from [1] that illustrate this trend (note: created in January 2011).</w:t>
      </w:r>
    </w:p>
    <w:p w:rsidR="00997F41" w:rsidRDefault="00997F41">
      <w:r>
        <w:rPr>
          <w:noProof/>
        </w:rPr>
        <w:drawing>
          <wp:inline distT="0" distB="0" distL="0" distR="0" wp14:anchorId="001AD1FA" wp14:editId="3D16E53C">
            <wp:extent cx="4880344" cy="231555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0344" cy="2315550"/>
                    </a:xfrm>
                    <a:prstGeom prst="rect">
                      <a:avLst/>
                    </a:prstGeom>
                  </pic:spPr>
                </pic:pic>
              </a:graphicData>
            </a:graphic>
          </wp:inline>
        </w:drawing>
      </w:r>
    </w:p>
    <w:p w:rsidR="00997F41" w:rsidRDefault="00997F41">
      <w:r>
        <w:rPr>
          <w:noProof/>
        </w:rPr>
        <w:drawing>
          <wp:inline distT="0" distB="0" distL="0" distR="0" wp14:anchorId="7DC4FC7D" wp14:editId="5DAD1D93">
            <wp:extent cx="4880344" cy="2347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2039" cy="2347912"/>
                    </a:xfrm>
                    <a:prstGeom prst="rect">
                      <a:avLst/>
                    </a:prstGeom>
                  </pic:spPr>
                </pic:pic>
              </a:graphicData>
            </a:graphic>
          </wp:inline>
        </w:drawing>
      </w:r>
    </w:p>
    <w:p w:rsidR="006E6EEF" w:rsidRDefault="006E6EEF">
      <w:r>
        <w:tab/>
        <w:t xml:space="preserve">In making the actual investments, I propose the use of ETFs over simple index funds.  ETFs provide easy access to diversification within asset classes (equities or fixed income) at very low expense ratios.  I would rather take the low expense ratios of ETFs over the “expert active management” of mutual funds, but that is a subject for another debate.  When I go to make actual investments, I will favor mid-cap domestic equities and shorter term fixed income assets but make sure to include exposure to other areas such as international equities, corporate bonds, etc. too. </w:t>
      </w:r>
    </w:p>
    <w:p w:rsidR="004545F7" w:rsidRDefault="004545F7"/>
    <w:p w:rsidR="004545F7" w:rsidRDefault="004545F7">
      <w:r>
        <w:t xml:space="preserve">[1] </w:t>
      </w:r>
      <w:hyperlink r:id="rId10" w:history="1">
        <w:r w:rsidRPr="00FA20D0">
          <w:rPr>
            <w:rStyle w:val="Hyperlink"/>
          </w:rPr>
          <w:t>http://squirrelers.com/2011/01/31/2126/</w:t>
        </w:r>
      </w:hyperlink>
    </w:p>
    <w:p w:rsidR="004545F7" w:rsidRDefault="004545F7">
      <w:r>
        <w:t xml:space="preserve">[2] </w:t>
      </w:r>
      <w:hyperlink r:id="rId11" w:history="1">
        <w:r w:rsidRPr="00FA20D0">
          <w:rPr>
            <w:rStyle w:val="Hyperlink"/>
          </w:rPr>
          <w:t>http://time-price-research-astrofin.blogspot.com/2012/03/alphas-mid-cap-power-index-strategy.html</w:t>
        </w:r>
      </w:hyperlink>
    </w:p>
    <w:p w:rsidR="004545F7" w:rsidRDefault="004545F7"/>
    <w:p w:rsidR="00997F41" w:rsidRDefault="00997F41" w:rsidP="001F55D5">
      <w:pPr>
        <w:pStyle w:val="Heading1"/>
      </w:pPr>
      <w:proofErr w:type="spellStart"/>
      <w:r>
        <w:lastRenderedPageBreak/>
        <w:t>Backtesting</w:t>
      </w:r>
      <w:proofErr w:type="spellEnd"/>
      <w:r w:rsidR="001F55D5">
        <w:t xml:space="preserve"> MDY &amp; SHY</w:t>
      </w:r>
    </w:p>
    <w:p w:rsidR="001B6BD7" w:rsidRDefault="001B6BD7">
      <w:r>
        <w:t xml:space="preserve">Note: all simulations performed in </w:t>
      </w:r>
      <w:proofErr w:type="spellStart"/>
      <w:r>
        <w:t>Matlab</w:t>
      </w:r>
      <w:proofErr w:type="spellEnd"/>
      <w:r>
        <w:t xml:space="preserve"> using original code</w:t>
      </w:r>
    </w:p>
    <w:p w:rsidR="00A16C5B" w:rsidRDefault="00A16C5B">
      <w:r>
        <w:t xml:space="preserve">Data: courtesy of </w:t>
      </w:r>
      <w:hyperlink r:id="rId12" w:history="1">
        <w:r w:rsidRPr="00A16C5B">
          <w:rPr>
            <w:rStyle w:val="Hyperlink"/>
          </w:rPr>
          <w:t>Yahoo Finance</w:t>
        </w:r>
      </w:hyperlink>
      <w:r>
        <w:t xml:space="preserve"> for prices and </w:t>
      </w:r>
      <w:hyperlink r:id="rId13" w:anchor=".URw84KU4uRo" w:history="1">
        <w:r w:rsidRPr="00A16C5B">
          <w:rPr>
            <w:rStyle w:val="Hyperlink"/>
          </w:rPr>
          <w:t>NASDAQ</w:t>
        </w:r>
      </w:hyperlink>
      <w:r>
        <w:t xml:space="preserve"> for dividend yields and dates</w:t>
      </w:r>
    </w:p>
    <w:p w:rsidR="00997F41" w:rsidRDefault="001B6BD7">
      <w:r>
        <w:tab/>
      </w:r>
      <w:r w:rsidR="00997F41">
        <w:t>To test this strategy from 2003 to 2012, let’s analyze the growth of $10,000 over the period and calculate the annualized return.  Here are my asset choices for testing</w:t>
      </w:r>
      <w:r w:rsidR="001A0831">
        <w:t xml:space="preserve"> (keep in mind these are arbitrary—we can re-run the simulation using different data)</w:t>
      </w:r>
      <w:r w:rsidR="00997F41">
        <w:t>:</w:t>
      </w:r>
    </w:p>
    <w:p w:rsidR="00997F41" w:rsidRDefault="006E6EEF" w:rsidP="00997F41">
      <w:pPr>
        <w:pStyle w:val="ListParagraph"/>
        <w:numPr>
          <w:ilvl w:val="0"/>
          <w:numId w:val="1"/>
        </w:numPr>
      </w:pPr>
      <w:r>
        <w:t xml:space="preserve">Equity ETF: </w:t>
      </w:r>
      <w:r w:rsidR="00997F41" w:rsidRPr="00997F41">
        <w:t xml:space="preserve">SPDR S&amp;P </w:t>
      </w:r>
      <w:proofErr w:type="spellStart"/>
      <w:r w:rsidR="00997F41" w:rsidRPr="00997F41">
        <w:t>MidCap</w:t>
      </w:r>
      <w:proofErr w:type="spellEnd"/>
      <w:r w:rsidR="00997F41" w:rsidRPr="00997F41">
        <w:t xml:space="preserve"> 400 (MDY)</w:t>
      </w:r>
    </w:p>
    <w:p w:rsidR="00997F41" w:rsidRDefault="006E6EEF" w:rsidP="00997F41">
      <w:pPr>
        <w:pStyle w:val="ListParagraph"/>
        <w:numPr>
          <w:ilvl w:val="0"/>
          <w:numId w:val="1"/>
        </w:numPr>
      </w:pPr>
      <w:r>
        <w:t xml:space="preserve">Fixed Income ETF: </w:t>
      </w:r>
      <w:proofErr w:type="spellStart"/>
      <w:r w:rsidR="00997F41" w:rsidRPr="00997F41">
        <w:t>iShares</w:t>
      </w:r>
      <w:proofErr w:type="spellEnd"/>
      <w:r w:rsidR="00997F41" w:rsidRPr="00997F41">
        <w:t xml:space="preserve"> Barclays 1-3 Year Treasury Bond (SHY)</w:t>
      </w:r>
    </w:p>
    <w:p w:rsidR="00997F41" w:rsidRDefault="00997F41">
      <w:r>
        <w:t>Before presenting results, here is the performance of the MDY and SHY over the same periods:</w:t>
      </w:r>
    </w:p>
    <w:p w:rsidR="006E6EEF" w:rsidRDefault="006E6EEF">
      <w:r>
        <w:t xml:space="preserve">Annualized Return </w:t>
      </w:r>
      <w:proofErr w:type="gramStart"/>
      <w:r>
        <w:t xml:space="preserve">= </w:t>
      </w:r>
      <w:proofErr w:type="gramEnd"/>
      <w:r w:rsidRPr="006E6EEF">
        <w:rPr>
          <w:position w:val="-30"/>
        </w:rPr>
        <w:object w:dxaOrig="23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05pt;height:34.35pt" o:ole="">
            <v:imagedata r:id="rId14" o:title=""/>
          </v:shape>
          <o:OLEObject Type="Embed" ProgID="Equation.DSMT4" ShapeID="_x0000_i1025" DrawAspect="Content" ObjectID="_1422299781" r:id="rId15"/>
        </w:object>
      </w:r>
      <w:r>
        <w:t>.</w:t>
      </w:r>
      <w:r>
        <w:tab/>
        <w:t>(P = Stock Price)</w:t>
      </w:r>
    </w:p>
    <w:p w:rsidR="006E6EEF" w:rsidRDefault="006E6EEF">
      <w:r>
        <w:t xml:space="preserve">MDY: Annual Return over the period of </w:t>
      </w:r>
      <w:r w:rsidR="00EE213E">
        <w:t>5/1/2003 – 12/31/2012 is about 16%</w:t>
      </w:r>
    </w:p>
    <w:p w:rsidR="006E6EEF" w:rsidRDefault="006E6EEF">
      <w:r>
        <w:rPr>
          <w:noProof/>
        </w:rPr>
        <w:drawing>
          <wp:inline distT="0" distB="0" distL="0" distR="0">
            <wp:extent cx="5337810" cy="3997960"/>
            <wp:effectExtent l="0" t="0" r="0" b="2540"/>
            <wp:docPr id="5" name="Picture 5" descr="C:\Users\Class2014\Documents\Dropbox\CalendarStratTest\2003_2012_daily\MDY S_P M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lass2014\Documents\Dropbox\CalendarStratTest\2003_2012_daily\MDY S_P MI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6E6EEF" w:rsidRDefault="00EE213E">
      <w:r>
        <w:t>SHY: Annual Return over the period of 5/1/2003 – 12/31/2012 is about 5%</w:t>
      </w:r>
    </w:p>
    <w:p w:rsidR="006E6EEF" w:rsidRDefault="00EE213E">
      <w:r>
        <w:rPr>
          <w:noProof/>
        </w:rPr>
        <w:lastRenderedPageBreak/>
        <w:drawing>
          <wp:inline distT="0" distB="0" distL="0" distR="0">
            <wp:extent cx="5337810" cy="3997960"/>
            <wp:effectExtent l="0" t="0" r="0" b="2540"/>
            <wp:docPr id="6" name="Picture 6" descr="C:\Users\Class2014\Documents\Dropbox\CalendarStratTest\2003_2012_daily\SHY Barclay 1-3yr bo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lass2014\Documents\Dropbox\CalendarStratTest\2003_2012_daily\SHY Barclay 1-3yr bond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EE213E" w:rsidRDefault="00EE213E">
      <w:r>
        <w:t>(SHY doesn’t gain in value much, but it’s pretty much constantly increasing)</w:t>
      </w:r>
    </w:p>
    <w:p w:rsidR="00EE213E" w:rsidRDefault="00EE213E"/>
    <w:p w:rsidR="00EE213E" w:rsidRDefault="00EE213E">
      <w:r>
        <w:t>Now, here is the growth of $10,000 using the calendar rotation strategy, assuming all dividends are reinvested.  It delivers a 26% return.</w:t>
      </w:r>
    </w:p>
    <w:p w:rsidR="00EE213E" w:rsidRDefault="00EE213E">
      <w:r>
        <w:rPr>
          <w:noProof/>
        </w:rPr>
        <w:lastRenderedPageBreak/>
        <w:drawing>
          <wp:inline distT="0" distB="0" distL="0" distR="0">
            <wp:extent cx="5337810" cy="3997960"/>
            <wp:effectExtent l="0" t="0" r="0" b="2540"/>
            <wp:docPr id="7" name="Picture 7" descr="C:\Users\Class2014\Documents\Dropbox\CalendarStratTest\2003_2012_daily\CalRot Performance FI_May1 EQ_Oc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lass2014\Documents\Dropbox\CalendarStratTest\2003_2012_daily\CalRot Performance FI_May1 EQ_Oct1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6E6EEF" w:rsidRDefault="000C4686">
      <w:r>
        <w:t>Here is an analysis of the overall return, followed by each equity period and then each fixed income period.</w:t>
      </w:r>
    </w:p>
    <w:p w:rsidR="00EE213E" w:rsidRDefault="00EE213E"/>
    <w:p w:rsidR="000C4686" w:rsidRPr="000C4686" w:rsidRDefault="000C4686" w:rsidP="000C4686">
      <w:pPr>
        <w:spacing w:line="240" w:lineRule="auto"/>
        <w:rPr>
          <w:rStyle w:val="CourierCode"/>
        </w:rPr>
      </w:pPr>
      <w:r w:rsidRPr="000C4686">
        <w:rPr>
          <w:rStyle w:val="CourierCode"/>
        </w:rPr>
        <w:t>Overall Return (</w:t>
      </w:r>
      <w:proofErr w:type="spellStart"/>
      <w:r w:rsidRPr="000C4686">
        <w:rPr>
          <w:rStyle w:val="CourierCode"/>
        </w:rPr>
        <w:t>final_val-initial_val</w:t>
      </w:r>
      <w:proofErr w:type="spellEnd"/>
      <w:r w:rsidRPr="000C4686">
        <w:rPr>
          <w:rStyle w:val="CourierCode"/>
        </w:rPr>
        <w:t>)/</w:t>
      </w:r>
      <w:proofErr w:type="spellStart"/>
      <w:r w:rsidRPr="000C4686">
        <w:rPr>
          <w:rStyle w:val="CourierCode"/>
        </w:rPr>
        <w:t>initial_val</w:t>
      </w:r>
      <w:proofErr w:type="spellEnd"/>
      <w:r w:rsidRPr="000C4686">
        <w:rPr>
          <w:rStyle w:val="CourierCode"/>
        </w:rPr>
        <w:t>: 2.546852</w:t>
      </w:r>
    </w:p>
    <w:p w:rsidR="000C4686" w:rsidRPr="000C4686" w:rsidRDefault="000C4686" w:rsidP="000C4686">
      <w:pPr>
        <w:spacing w:line="240" w:lineRule="auto"/>
        <w:rPr>
          <w:rStyle w:val="CourierCode"/>
        </w:rPr>
      </w:pPr>
      <w:r w:rsidRPr="000C4686">
        <w:rPr>
          <w:rStyle w:val="CourierCode"/>
        </w:rPr>
        <w:t xml:space="preserve">  Duration: 3529 days</w:t>
      </w:r>
    </w:p>
    <w:p w:rsidR="000C4686" w:rsidRPr="000C4686" w:rsidRDefault="000C4686" w:rsidP="000C4686">
      <w:pPr>
        <w:spacing w:line="240" w:lineRule="auto"/>
        <w:rPr>
          <w:rStyle w:val="CourierCode"/>
        </w:rPr>
      </w:pPr>
      <w:r w:rsidRPr="000C4686">
        <w:rPr>
          <w:rStyle w:val="CourierCode"/>
        </w:rPr>
        <w:t xml:space="preserve">    </w:t>
      </w:r>
      <w:proofErr w:type="gramStart"/>
      <w:r w:rsidRPr="000C4686">
        <w:rPr>
          <w:rStyle w:val="CourierCode"/>
        </w:rPr>
        <w:t>at</w:t>
      </w:r>
      <w:proofErr w:type="gramEnd"/>
      <w:r w:rsidRPr="000C4686">
        <w:rPr>
          <w:rStyle w:val="CourierCode"/>
        </w:rPr>
        <w:t xml:space="preserve"> EQ-&gt;FI date 05/01/03</w:t>
      </w:r>
    </w:p>
    <w:p w:rsidR="000C4686" w:rsidRPr="000C4686" w:rsidRDefault="000C4686" w:rsidP="000C4686">
      <w:pPr>
        <w:spacing w:line="240" w:lineRule="auto"/>
        <w:rPr>
          <w:rStyle w:val="CourierCode"/>
        </w:rPr>
      </w:pPr>
      <w:r w:rsidRPr="000C4686">
        <w:rPr>
          <w:rStyle w:val="CourierCode"/>
        </w:rPr>
        <w:t xml:space="preserve">    </w:t>
      </w:r>
      <w:proofErr w:type="gramStart"/>
      <w:r w:rsidRPr="000C4686">
        <w:rPr>
          <w:rStyle w:val="CourierCode"/>
        </w:rPr>
        <w:t>at</w:t>
      </w:r>
      <w:proofErr w:type="gramEnd"/>
      <w:r w:rsidRPr="000C4686">
        <w:rPr>
          <w:rStyle w:val="CourierCode"/>
        </w:rPr>
        <w:t xml:space="preserve"> FI-&gt;EQ date 10/15/03</w:t>
      </w:r>
    </w:p>
    <w:p w:rsidR="000C4686" w:rsidRPr="000C4686" w:rsidRDefault="000C4686" w:rsidP="000C4686">
      <w:pPr>
        <w:spacing w:line="240" w:lineRule="auto"/>
        <w:rPr>
          <w:rStyle w:val="CourierCode"/>
        </w:rPr>
      </w:pPr>
      <w:r w:rsidRPr="000C4686">
        <w:rPr>
          <w:rStyle w:val="CourierCode"/>
        </w:rPr>
        <w:t xml:space="preserve">  Annualized = </w:t>
      </w:r>
      <w:proofErr w:type="gramStart"/>
      <w:r w:rsidRPr="000C4686">
        <w:rPr>
          <w:rStyle w:val="CourierCode"/>
        </w:rPr>
        <w:t>Overall</w:t>
      </w:r>
      <w:proofErr w:type="gramEnd"/>
      <w:r w:rsidRPr="000C4686">
        <w:rPr>
          <w:rStyle w:val="CourierCode"/>
        </w:rPr>
        <w:t xml:space="preserve"> * 365/duration: 0.263418</w:t>
      </w:r>
    </w:p>
    <w:p w:rsidR="000C4686" w:rsidRPr="000C4686" w:rsidRDefault="000C4686" w:rsidP="000C4686">
      <w:pPr>
        <w:spacing w:line="240" w:lineRule="auto"/>
        <w:rPr>
          <w:rStyle w:val="CourierCode"/>
        </w:rPr>
      </w:pPr>
      <w:r w:rsidRPr="000C4686">
        <w:rPr>
          <w:rStyle w:val="CourierCode"/>
        </w:rPr>
        <w:t>EQ period: start; end; gain; duration (days); return (annualized)</w:t>
      </w:r>
    </w:p>
    <w:p w:rsidR="000C4686" w:rsidRPr="000C4686" w:rsidRDefault="000C4686" w:rsidP="000C4686">
      <w:pPr>
        <w:spacing w:line="240" w:lineRule="auto"/>
        <w:rPr>
          <w:rStyle w:val="CourierCode"/>
        </w:rPr>
      </w:pPr>
      <w:proofErr w:type="gramStart"/>
      <w:r w:rsidRPr="000C4686">
        <w:rPr>
          <w:rStyle w:val="CourierCode"/>
        </w:rPr>
        <w:t>ret</w:t>
      </w:r>
      <w:proofErr w:type="gramEnd"/>
      <w:r w:rsidRPr="000C4686">
        <w:rPr>
          <w:rStyle w:val="CourierCode"/>
        </w:rPr>
        <w:t xml:space="preserve"> =</w:t>
      </w:r>
    </w:p>
    <w:p w:rsidR="000C4686" w:rsidRPr="000C4686" w:rsidRDefault="000C4686" w:rsidP="000C4686">
      <w:pPr>
        <w:spacing w:line="240" w:lineRule="auto"/>
        <w:rPr>
          <w:rStyle w:val="CourierCode"/>
        </w:rPr>
      </w:pPr>
    </w:p>
    <w:p w:rsidR="000C4686" w:rsidRPr="000C4686" w:rsidRDefault="000C4686" w:rsidP="000C4686">
      <w:pPr>
        <w:spacing w:line="240" w:lineRule="auto"/>
        <w:rPr>
          <w:rStyle w:val="CourierCode"/>
        </w:rPr>
      </w:pPr>
      <w:r w:rsidRPr="000C4686">
        <w:rPr>
          <w:rStyle w:val="CourierCode"/>
        </w:rPr>
        <w:t xml:space="preserve">  Columns 1 through 5</w:t>
      </w:r>
    </w:p>
    <w:p w:rsidR="000C4686" w:rsidRPr="000C4686" w:rsidRDefault="000C4686" w:rsidP="000C4686">
      <w:pPr>
        <w:spacing w:line="240" w:lineRule="auto"/>
        <w:rPr>
          <w:rStyle w:val="CourierCode"/>
        </w:rPr>
      </w:pPr>
    </w:p>
    <w:p w:rsidR="000C4686" w:rsidRPr="000C4686" w:rsidRDefault="000C4686" w:rsidP="000C4686">
      <w:pPr>
        <w:spacing w:line="240" w:lineRule="auto"/>
        <w:rPr>
          <w:rStyle w:val="CourierCode"/>
        </w:rPr>
      </w:pPr>
      <w:r w:rsidRPr="000C4686">
        <w:rPr>
          <w:rStyle w:val="CourierCode"/>
        </w:rPr>
        <w:t xml:space="preserve">        10144        11388        12583        15303        17762</w:t>
      </w:r>
    </w:p>
    <w:p w:rsidR="000C4686" w:rsidRPr="000C4686" w:rsidRDefault="000C4686" w:rsidP="000C4686">
      <w:pPr>
        <w:spacing w:line="240" w:lineRule="auto"/>
        <w:rPr>
          <w:rStyle w:val="CourierCode"/>
        </w:rPr>
      </w:pPr>
      <w:r w:rsidRPr="000C4686">
        <w:rPr>
          <w:rStyle w:val="CourierCode"/>
        </w:rPr>
        <w:t xml:space="preserve">        11018        12414        14812        17024        16478</w:t>
      </w:r>
    </w:p>
    <w:p w:rsidR="000C4686" w:rsidRPr="000C4686" w:rsidRDefault="000C4686" w:rsidP="000C4686">
      <w:pPr>
        <w:spacing w:line="240" w:lineRule="auto"/>
        <w:rPr>
          <w:rStyle w:val="CourierCode"/>
        </w:rPr>
      </w:pPr>
      <w:r w:rsidRPr="000C4686">
        <w:rPr>
          <w:rStyle w:val="CourierCode"/>
        </w:rPr>
        <w:t xml:space="preserve">        874.2       1026.2       2229.1       1720.6      -1284.3</w:t>
      </w:r>
    </w:p>
    <w:p w:rsidR="000C4686" w:rsidRPr="000C4686" w:rsidRDefault="000C4686" w:rsidP="000C4686">
      <w:pPr>
        <w:spacing w:line="240" w:lineRule="auto"/>
        <w:rPr>
          <w:rStyle w:val="CourierCode"/>
        </w:rPr>
      </w:pPr>
      <w:r w:rsidRPr="000C4686">
        <w:rPr>
          <w:rStyle w:val="CourierCode"/>
        </w:rPr>
        <w:t xml:space="preserve">          199          197          196          199          201</w:t>
      </w:r>
    </w:p>
    <w:p w:rsidR="000C4686" w:rsidRPr="000C4686" w:rsidRDefault="000C4686" w:rsidP="000C4686">
      <w:pPr>
        <w:spacing w:line="240" w:lineRule="auto"/>
        <w:rPr>
          <w:rStyle w:val="CourierCode"/>
        </w:rPr>
      </w:pPr>
      <w:r w:rsidRPr="000C4686">
        <w:rPr>
          <w:rStyle w:val="CourierCode"/>
        </w:rPr>
        <w:t xml:space="preserve">      0.15807      0.16695      0.32991      0.20622      -0.1313</w:t>
      </w:r>
    </w:p>
    <w:p w:rsidR="000C4686" w:rsidRPr="000C4686" w:rsidRDefault="000C4686" w:rsidP="000C4686">
      <w:pPr>
        <w:spacing w:line="240" w:lineRule="auto"/>
        <w:rPr>
          <w:rStyle w:val="CourierCode"/>
        </w:rPr>
      </w:pPr>
    </w:p>
    <w:p w:rsidR="000C4686" w:rsidRPr="000C4686" w:rsidRDefault="000C4686" w:rsidP="000C4686">
      <w:pPr>
        <w:spacing w:line="240" w:lineRule="auto"/>
        <w:rPr>
          <w:rStyle w:val="CourierCode"/>
        </w:rPr>
      </w:pPr>
      <w:r w:rsidRPr="000C4686">
        <w:rPr>
          <w:rStyle w:val="CourierCode"/>
        </w:rPr>
        <w:t xml:space="preserve">  Columns 6 through 10</w:t>
      </w:r>
    </w:p>
    <w:p w:rsidR="000C4686" w:rsidRPr="000C4686" w:rsidRDefault="000C4686" w:rsidP="000C4686">
      <w:pPr>
        <w:spacing w:line="240" w:lineRule="auto"/>
        <w:rPr>
          <w:rStyle w:val="CourierCode"/>
        </w:rPr>
      </w:pPr>
    </w:p>
    <w:p w:rsidR="000C4686" w:rsidRPr="000C4686" w:rsidRDefault="000C4686" w:rsidP="000C4686">
      <w:pPr>
        <w:spacing w:line="240" w:lineRule="auto"/>
        <w:rPr>
          <w:rStyle w:val="CourierCode"/>
        </w:rPr>
      </w:pPr>
      <w:r w:rsidRPr="000C4686">
        <w:rPr>
          <w:rStyle w:val="CourierCode"/>
        </w:rPr>
        <w:t xml:space="preserve">        17136        18722        22527        28355        34510</w:t>
      </w:r>
    </w:p>
    <w:p w:rsidR="000C4686" w:rsidRPr="000C4686" w:rsidRDefault="000C4686" w:rsidP="000C4686">
      <w:pPr>
        <w:spacing w:line="240" w:lineRule="auto"/>
        <w:rPr>
          <w:rStyle w:val="CourierCode"/>
        </w:rPr>
      </w:pPr>
      <w:r w:rsidRPr="000C4686">
        <w:rPr>
          <w:rStyle w:val="CourierCode"/>
        </w:rPr>
        <w:t xml:space="preserve">        18497        21702        28194        34213        35469</w:t>
      </w:r>
    </w:p>
    <w:p w:rsidR="000C4686" w:rsidRPr="000C4686" w:rsidRDefault="000C4686" w:rsidP="000C4686">
      <w:pPr>
        <w:spacing w:line="240" w:lineRule="auto"/>
        <w:rPr>
          <w:rStyle w:val="CourierCode"/>
        </w:rPr>
      </w:pPr>
      <w:r w:rsidRPr="000C4686">
        <w:rPr>
          <w:rStyle w:val="CourierCode"/>
        </w:rPr>
        <w:t xml:space="preserve">       1360.7       2980.6       5666.3       5857.7       958.03</w:t>
      </w:r>
    </w:p>
    <w:p w:rsidR="000C4686" w:rsidRPr="000C4686" w:rsidRDefault="000C4686" w:rsidP="000C4686">
      <w:pPr>
        <w:spacing w:line="240" w:lineRule="auto"/>
        <w:rPr>
          <w:rStyle w:val="CourierCode"/>
        </w:rPr>
      </w:pPr>
      <w:r w:rsidRPr="000C4686">
        <w:rPr>
          <w:rStyle w:val="CourierCode"/>
        </w:rPr>
        <w:t xml:space="preserve">          198          198          197          199           77</w:t>
      </w:r>
    </w:p>
    <w:p w:rsidR="000C4686" w:rsidRPr="000C4686" w:rsidRDefault="000C4686" w:rsidP="000C4686">
      <w:pPr>
        <w:spacing w:line="240" w:lineRule="auto"/>
        <w:rPr>
          <w:rStyle w:val="CourierCode"/>
        </w:rPr>
      </w:pPr>
      <w:r w:rsidRPr="000C4686">
        <w:rPr>
          <w:rStyle w:val="CourierCode"/>
        </w:rPr>
        <w:t xml:space="preserve">      0.14638      0.29349      0.46603      0.37892      0.13159</w:t>
      </w:r>
    </w:p>
    <w:p w:rsidR="000C4686" w:rsidRPr="000C4686" w:rsidRDefault="000C4686" w:rsidP="000C4686">
      <w:pPr>
        <w:spacing w:line="240" w:lineRule="auto"/>
        <w:rPr>
          <w:rStyle w:val="CourierCode"/>
        </w:rPr>
      </w:pPr>
    </w:p>
    <w:p w:rsidR="000C4686" w:rsidRPr="000C4686" w:rsidRDefault="000C4686" w:rsidP="000C4686">
      <w:pPr>
        <w:spacing w:line="240" w:lineRule="auto"/>
        <w:rPr>
          <w:rStyle w:val="CourierCode"/>
        </w:rPr>
      </w:pPr>
      <w:r w:rsidRPr="000C4686">
        <w:rPr>
          <w:rStyle w:val="CourierCode"/>
        </w:rPr>
        <w:t>FI period: start; end; gain; duration (days); return (annualized)</w:t>
      </w:r>
    </w:p>
    <w:p w:rsidR="000C4686" w:rsidRPr="000C4686" w:rsidRDefault="000C4686" w:rsidP="000C4686">
      <w:pPr>
        <w:spacing w:line="240" w:lineRule="auto"/>
        <w:rPr>
          <w:rStyle w:val="CourierCode"/>
        </w:rPr>
      </w:pPr>
      <w:proofErr w:type="gramStart"/>
      <w:r w:rsidRPr="000C4686">
        <w:rPr>
          <w:rStyle w:val="CourierCode"/>
        </w:rPr>
        <w:t>ret</w:t>
      </w:r>
      <w:proofErr w:type="gramEnd"/>
      <w:r w:rsidRPr="000C4686">
        <w:rPr>
          <w:rStyle w:val="CourierCode"/>
        </w:rPr>
        <w:t xml:space="preserve"> =</w:t>
      </w:r>
    </w:p>
    <w:p w:rsidR="000C4686" w:rsidRPr="000C4686" w:rsidRDefault="000C4686" w:rsidP="000C4686">
      <w:pPr>
        <w:spacing w:line="240" w:lineRule="auto"/>
        <w:rPr>
          <w:rStyle w:val="CourierCode"/>
        </w:rPr>
      </w:pPr>
    </w:p>
    <w:p w:rsidR="000C4686" w:rsidRPr="000C4686" w:rsidRDefault="000C4686" w:rsidP="000C4686">
      <w:pPr>
        <w:spacing w:line="240" w:lineRule="auto"/>
        <w:rPr>
          <w:rStyle w:val="CourierCode"/>
        </w:rPr>
      </w:pPr>
      <w:r w:rsidRPr="000C4686">
        <w:rPr>
          <w:rStyle w:val="CourierCode"/>
        </w:rPr>
        <w:t xml:space="preserve">  Columns 1 through 5</w:t>
      </w:r>
    </w:p>
    <w:p w:rsidR="000C4686" w:rsidRPr="000C4686" w:rsidRDefault="000C4686" w:rsidP="000C4686">
      <w:pPr>
        <w:spacing w:line="240" w:lineRule="auto"/>
        <w:rPr>
          <w:rStyle w:val="CourierCode"/>
        </w:rPr>
      </w:pPr>
    </w:p>
    <w:p w:rsidR="000C4686" w:rsidRPr="000C4686" w:rsidRDefault="000C4686" w:rsidP="000C4686">
      <w:pPr>
        <w:spacing w:line="240" w:lineRule="auto"/>
        <w:rPr>
          <w:rStyle w:val="CourierCode"/>
        </w:rPr>
      </w:pPr>
      <w:r w:rsidRPr="000C4686">
        <w:rPr>
          <w:rStyle w:val="CourierCode"/>
        </w:rPr>
        <w:lastRenderedPageBreak/>
        <w:t xml:space="preserve">        10000        11018        12414        14812        17024</w:t>
      </w:r>
    </w:p>
    <w:p w:rsidR="000C4686" w:rsidRPr="000C4686" w:rsidRDefault="000C4686" w:rsidP="000C4686">
      <w:pPr>
        <w:spacing w:line="240" w:lineRule="auto"/>
        <w:rPr>
          <w:rStyle w:val="CourierCode"/>
        </w:rPr>
      </w:pPr>
      <w:r w:rsidRPr="000C4686">
        <w:rPr>
          <w:rStyle w:val="CourierCode"/>
        </w:rPr>
        <w:t xml:space="preserve">        10144        11388        12583        15303        17762</w:t>
      </w:r>
    </w:p>
    <w:p w:rsidR="000C4686" w:rsidRPr="000C4686" w:rsidRDefault="000C4686" w:rsidP="000C4686">
      <w:pPr>
        <w:spacing w:line="240" w:lineRule="auto"/>
        <w:rPr>
          <w:rStyle w:val="CourierCode"/>
        </w:rPr>
      </w:pPr>
      <w:r w:rsidRPr="000C4686">
        <w:rPr>
          <w:rStyle w:val="CourierCode"/>
        </w:rPr>
        <w:t xml:space="preserve">       143.71       370.33       168.32       491.44       738.34</w:t>
      </w:r>
    </w:p>
    <w:p w:rsidR="000C4686" w:rsidRPr="000C4686" w:rsidRDefault="000C4686" w:rsidP="000C4686">
      <w:pPr>
        <w:spacing w:line="240" w:lineRule="auto"/>
        <w:rPr>
          <w:rStyle w:val="CourierCode"/>
        </w:rPr>
      </w:pPr>
      <w:r w:rsidRPr="000C4686">
        <w:rPr>
          <w:rStyle w:val="CourierCode"/>
        </w:rPr>
        <w:t xml:space="preserve">          166          167          168          168          165</w:t>
      </w:r>
    </w:p>
    <w:p w:rsidR="000C4686" w:rsidRPr="000C4686" w:rsidRDefault="000C4686" w:rsidP="000C4686">
      <w:pPr>
        <w:spacing w:line="240" w:lineRule="auto"/>
        <w:rPr>
          <w:rStyle w:val="CourierCode"/>
        </w:rPr>
      </w:pPr>
      <w:r w:rsidRPr="000C4686">
        <w:rPr>
          <w:rStyle w:val="CourierCode"/>
        </w:rPr>
        <w:t xml:space="preserve">     0.031599     0.073462     0.029457     0.072085     0.095942</w:t>
      </w:r>
    </w:p>
    <w:p w:rsidR="000C4686" w:rsidRPr="000C4686" w:rsidRDefault="000C4686" w:rsidP="000C4686">
      <w:pPr>
        <w:spacing w:line="240" w:lineRule="auto"/>
        <w:rPr>
          <w:rStyle w:val="CourierCode"/>
        </w:rPr>
      </w:pPr>
    </w:p>
    <w:p w:rsidR="000C4686" w:rsidRPr="000C4686" w:rsidRDefault="000C4686" w:rsidP="000C4686">
      <w:pPr>
        <w:spacing w:line="240" w:lineRule="auto"/>
        <w:rPr>
          <w:rStyle w:val="CourierCode"/>
        </w:rPr>
      </w:pPr>
      <w:r w:rsidRPr="000C4686">
        <w:rPr>
          <w:rStyle w:val="CourierCode"/>
        </w:rPr>
        <w:t xml:space="preserve">  Columns 6 through 10</w:t>
      </w:r>
    </w:p>
    <w:p w:rsidR="000C4686" w:rsidRPr="000C4686" w:rsidRDefault="000C4686" w:rsidP="000C4686">
      <w:pPr>
        <w:spacing w:line="240" w:lineRule="auto"/>
        <w:rPr>
          <w:rStyle w:val="CourierCode"/>
        </w:rPr>
      </w:pPr>
    </w:p>
    <w:p w:rsidR="000C4686" w:rsidRPr="000C4686" w:rsidRDefault="000C4686" w:rsidP="000C4686">
      <w:pPr>
        <w:spacing w:line="240" w:lineRule="auto"/>
        <w:rPr>
          <w:rStyle w:val="CourierCode"/>
        </w:rPr>
      </w:pPr>
      <w:r w:rsidRPr="000C4686">
        <w:rPr>
          <w:rStyle w:val="CourierCode"/>
        </w:rPr>
        <w:t xml:space="preserve">        16478        18497        21702        28194        34213</w:t>
      </w:r>
    </w:p>
    <w:p w:rsidR="000C4686" w:rsidRPr="000C4686" w:rsidRDefault="000C4686" w:rsidP="000C4686">
      <w:pPr>
        <w:spacing w:line="240" w:lineRule="auto"/>
        <w:rPr>
          <w:rStyle w:val="CourierCode"/>
        </w:rPr>
      </w:pPr>
      <w:r w:rsidRPr="000C4686">
        <w:rPr>
          <w:rStyle w:val="CourierCode"/>
        </w:rPr>
        <w:t xml:space="preserve">        17136        18722        22527        28355        34510</w:t>
      </w:r>
    </w:p>
    <w:p w:rsidR="000C4686" w:rsidRPr="000C4686" w:rsidRDefault="000C4686" w:rsidP="000C4686">
      <w:pPr>
        <w:spacing w:line="240" w:lineRule="auto"/>
        <w:rPr>
          <w:rStyle w:val="CourierCode"/>
        </w:rPr>
      </w:pPr>
      <w:r w:rsidRPr="000C4686">
        <w:rPr>
          <w:rStyle w:val="CourierCode"/>
        </w:rPr>
        <w:t xml:space="preserve">       658.33        224.7       825.14       161.17       297.95</w:t>
      </w:r>
    </w:p>
    <w:p w:rsidR="000C4686" w:rsidRPr="000C4686" w:rsidRDefault="000C4686" w:rsidP="000C4686">
      <w:pPr>
        <w:spacing w:line="240" w:lineRule="auto"/>
        <w:rPr>
          <w:rStyle w:val="CourierCode"/>
        </w:rPr>
      </w:pPr>
      <w:r w:rsidRPr="000C4686">
        <w:rPr>
          <w:rStyle w:val="CourierCode"/>
        </w:rPr>
        <w:t xml:space="preserve">          167          167          167          168          165</w:t>
      </w:r>
    </w:p>
    <w:p w:rsidR="00EE213E" w:rsidRPr="000C4686" w:rsidRDefault="000C4686" w:rsidP="000C4686">
      <w:pPr>
        <w:spacing w:line="240" w:lineRule="auto"/>
        <w:rPr>
          <w:rStyle w:val="CourierCode"/>
        </w:rPr>
      </w:pPr>
      <w:r w:rsidRPr="000C4686">
        <w:rPr>
          <w:rStyle w:val="CourierCode"/>
        </w:rPr>
        <w:t xml:space="preserve">     0.087321     0.026551       0.0831      0.01242     0.019265</w:t>
      </w:r>
    </w:p>
    <w:p w:rsidR="000C4686" w:rsidRDefault="000C4686"/>
    <w:p w:rsidR="000C4686" w:rsidRDefault="00AD0855">
      <w:r>
        <w:t>As you can see, returns during the equity period vary, but they are all positive except for the 2008 period.  Returns from the fixed income period are consistently positive and low.</w:t>
      </w:r>
    </w:p>
    <w:p w:rsidR="00AD0855" w:rsidRDefault="00AD0855">
      <w:r>
        <w:tab/>
        <w:t xml:space="preserve">In order to ensure I chose the best times to sell all fixed income and buy all equities in the </w:t>
      </w:r>
      <w:proofErr w:type="gramStart"/>
      <w:r>
        <w:t>Fall</w:t>
      </w:r>
      <w:proofErr w:type="gramEnd"/>
      <w:r>
        <w:t xml:space="preserve"> and vice versa in the Spring, I varied the transition dates by weeks at a time and found that the optimal times yield:</w:t>
      </w:r>
    </w:p>
    <w:p w:rsidR="00AD0855" w:rsidRPr="00AD0855" w:rsidRDefault="00AD0855" w:rsidP="00AD0855">
      <w:pPr>
        <w:pStyle w:val="CambriaMath"/>
        <w:rPr>
          <w:rStyle w:val="CourierCode"/>
        </w:rPr>
      </w:pPr>
      <w:r w:rsidRPr="00AD0855">
        <w:rPr>
          <w:rStyle w:val="CourierCode"/>
        </w:rPr>
        <w:t xml:space="preserve">Max Return of 0.263418 </w:t>
      </w:r>
    </w:p>
    <w:p w:rsidR="00AD0855" w:rsidRPr="00AD0855" w:rsidRDefault="00AD0855" w:rsidP="00AD0855">
      <w:pPr>
        <w:pStyle w:val="CambriaMath"/>
        <w:rPr>
          <w:rStyle w:val="CourierCode"/>
        </w:rPr>
      </w:pPr>
      <w:r w:rsidRPr="00AD0855">
        <w:rPr>
          <w:rStyle w:val="CourierCode"/>
        </w:rPr>
        <w:tab/>
      </w:r>
      <w:proofErr w:type="gramStart"/>
      <w:r w:rsidRPr="00AD0855">
        <w:rPr>
          <w:rStyle w:val="CourierCode"/>
        </w:rPr>
        <w:t>at</w:t>
      </w:r>
      <w:proofErr w:type="gramEnd"/>
      <w:r w:rsidRPr="00AD0855">
        <w:rPr>
          <w:rStyle w:val="CourierCode"/>
        </w:rPr>
        <w:t xml:space="preserve"> EQ-&gt;FI date 05/01</w:t>
      </w:r>
    </w:p>
    <w:p w:rsidR="00AD0855" w:rsidRPr="00AD0855" w:rsidRDefault="00AD0855" w:rsidP="00AD0855">
      <w:pPr>
        <w:pStyle w:val="CambriaMath"/>
        <w:rPr>
          <w:rStyle w:val="CourierCode"/>
        </w:rPr>
      </w:pPr>
      <w:r w:rsidRPr="00AD0855">
        <w:rPr>
          <w:rStyle w:val="CourierCode"/>
        </w:rPr>
        <w:tab/>
      </w:r>
      <w:proofErr w:type="gramStart"/>
      <w:r w:rsidRPr="00AD0855">
        <w:rPr>
          <w:rStyle w:val="CourierCode"/>
        </w:rPr>
        <w:t>at</w:t>
      </w:r>
      <w:proofErr w:type="gramEnd"/>
      <w:r w:rsidRPr="00AD0855">
        <w:rPr>
          <w:rStyle w:val="CourierCode"/>
        </w:rPr>
        <w:t xml:space="preserve"> FI-&gt;EQ date 10/15</w:t>
      </w:r>
    </w:p>
    <w:p w:rsidR="00AD0855" w:rsidRDefault="00AD0855" w:rsidP="00AD0855">
      <w:r>
        <w:t>Note that the return is not drastically affected by the transition dates.  The following graph shows the effect of varying the transition dates on the return:</w:t>
      </w:r>
    </w:p>
    <w:p w:rsidR="00AD0855" w:rsidRDefault="00AD0855" w:rsidP="00AD0855">
      <w:pPr>
        <w:jc w:val="center"/>
      </w:pPr>
      <w:r>
        <w:rPr>
          <w:noProof/>
        </w:rPr>
        <w:drawing>
          <wp:inline distT="0" distB="0" distL="0" distR="0">
            <wp:extent cx="3040912" cy="2987675"/>
            <wp:effectExtent l="0" t="0" r="7620" b="3175"/>
            <wp:docPr id="8" name="Picture 8" descr="C:\Users\Class2014\Documents\Dropbox\CalendarStratTest\2003_2012_daily\compare_eq_fi_d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lass2014\Documents\Dropbox\CalendarStratTest\2003_2012_daily\compare_eq_fi_dates.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402" r="23435"/>
                    <a:stretch/>
                  </pic:blipFill>
                  <pic:spPr bwMode="auto">
                    <a:xfrm>
                      <a:off x="0" y="0"/>
                      <a:ext cx="3040912" cy="2987675"/>
                    </a:xfrm>
                    <a:prstGeom prst="rect">
                      <a:avLst/>
                    </a:prstGeom>
                    <a:noFill/>
                    <a:ln>
                      <a:noFill/>
                    </a:ln>
                    <a:extLst>
                      <a:ext uri="{53640926-AAD7-44D8-BBD7-CCE9431645EC}">
                        <a14:shadowObscured xmlns:a14="http://schemas.microsoft.com/office/drawing/2010/main"/>
                      </a:ext>
                    </a:extLst>
                  </pic:spPr>
                </pic:pic>
              </a:graphicData>
            </a:graphic>
          </wp:inline>
        </w:drawing>
      </w:r>
    </w:p>
    <w:p w:rsidR="005637ED" w:rsidRDefault="005637ED">
      <w:r>
        <w:br w:type="page"/>
      </w:r>
    </w:p>
    <w:p w:rsidR="001F55D5" w:rsidRDefault="001F55D5" w:rsidP="001F55D5">
      <w:pPr>
        <w:pStyle w:val="Heading1"/>
      </w:pPr>
      <w:proofErr w:type="spellStart"/>
      <w:r>
        <w:lastRenderedPageBreak/>
        <w:t>Backtesting</w:t>
      </w:r>
      <w:proofErr w:type="spellEnd"/>
      <w:r>
        <w:t xml:space="preserve"> SPY &amp; SHY</w:t>
      </w:r>
    </w:p>
    <w:p w:rsidR="00EE213E" w:rsidRDefault="001F55D5">
      <w:r>
        <w:tab/>
        <w:t xml:space="preserve">A friend recommended I test the strategy on the </w:t>
      </w:r>
      <w:r w:rsidRPr="001F55D5">
        <w:t>SPDR S&amp;P 500 (SPY)</w:t>
      </w:r>
      <w:r>
        <w:t xml:space="preserve"> ETF, a more popular ETF that closely tracks the S&amp;P 500.  I repeated the same procedure as with MDY.  First, the return to compare against for SPY is </w:t>
      </w:r>
      <w:r w:rsidRPr="001F55D5">
        <w:rPr>
          <w:b/>
        </w:rPr>
        <w:t>9%</w:t>
      </w:r>
      <w:r>
        <w:t xml:space="preserve"> (the result of investing totally in SPY over the timeframe).  Here is a graph showing the growth of $10,000 following the calendar rotation strategy, using May 1 and October 15 as the transition dates</w:t>
      </w:r>
      <w:r w:rsidR="00F752EA">
        <w:t xml:space="preserve"> (again, reinvest all dividends)</w:t>
      </w:r>
      <w:r>
        <w:t>:</w:t>
      </w:r>
    </w:p>
    <w:p w:rsidR="001F55D5" w:rsidRDefault="001F55D5">
      <w:r>
        <w:rPr>
          <w:noProof/>
        </w:rPr>
        <w:drawing>
          <wp:inline distT="0" distB="0" distL="0" distR="0">
            <wp:extent cx="5347970" cy="3997960"/>
            <wp:effectExtent l="0" t="0" r="5080" b="2540"/>
            <wp:docPr id="9" name="Picture 9" descr="C:\Users\Class2014\Documents\Dropbox\CalendarStratTest\2003_2012_daily\CalRot Performance SHY_May1 SPY_Oc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lass2014\Documents\Dropbox\CalendarStratTest\2003_2012_daily\CalRot Performance SHY_May1 SPY_Oct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1F55D5" w:rsidRPr="001F55D5" w:rsidRDefault="001F55D5" w:rsidP="001F55D5">
      <w:pPr>
        <w:rPr>
          <w:rStyle w:val="CourierCode"/>
        </w:rPr>
      </w:pPr>
      <w:r w:rsidRPr="001F55D5">
        <w:rPr>
          <w:rStyle w:val="CourierCode"/>
        </w:rPr>
        <w:t xml:space="preserve">&gt;&gt; </w:t>
      </w:r>
      <w:proofErr w:type="spellStart"/>
      <w:r w:rsidRPr="001F55D5">
        <w:rPr>
          <w:rStyle w:val="CourierCode"/>
        </w:rPr>
        <w:t>CalBackScript_SPY</w:t>
      </w:r>
      <w:proofErr w:type="spellEnd"/>
    </w:p>
    <w:p w:rsidR="001F55D5" w:rsidRPr="001F55D5" w:rsidRDefault="001F55D5" w:rsidP="001F55D5">
      <w:pPr>
        <w:rPr>
          <w:rStyle w:val="CourierCode"/>
        </w:rPr>
      </w:pPr>
      <w:r w:rsidRPr="001F55D5">
        <w:rPr>
          <w:rStyle w:val="CourierCode"/>
        </w:rPr>
        <w:t>Overall Return (</w:t>
      </w:r>
      <w:proofErr w:type="spellStart"/>
      <w:r w:rsidRPr="001F55D5">
        <w:rPr>
          <w:rStyle w:val="CourierCode"/>
        </w:rPr>
        <w:t>final_val-initial_val</w:t>
      </w:r>
      <w:proofErr w:type="spellEnd"/>
      <w:r w:rsidRPr="001F55D5">
        <w:rPr>
          <w:rStyle w:val="CourierCode"/>
        </w:rPr>
        <w:t>)/</w:t>
      </w:r>
      <w:proofErr w:type="spellStart"/>
      <w:r w:rsidRPr="001F55D5">
        <w:rPr>
          <w:rStyle w:val="CourierCode"/>
        </w:rPr>
        <w:t>initial_val</w:t>
      </w:r>
      <w:proofErr w:type="spellEnd"/>
      <w:r w:rsidRPr="001F55D5">
        <w:rPr>
          <w:rStyle w:val="CourierCode"/>
        </w:rPr>
        <w:t>: 1.450985</w:t>
      </w:r>
    </w:p>
    <w:p w:rsidR="001F55D5" w:rsidRPr="001F55D5" w:rsidRDefault="001F55D5" w:rsidP="001F55D5">
      <w:pPr>
        <w:rPr>
          <w:rStyle w:val="CourierCode"/>
        </w:rPr>
      </w:pPr>
      <w:r w:rsidRPr="001F55D5">
        <w:rPr>
          <w:rStyle w:val="CourierCode"/>
        </w:rPr>
        <w:t xml:space="preserve">  Duration: 3529 days</w:t>
      </w:r>
    </w:p>
    <w:p w:rsidR="001F55D5" w:rsidRPr="001F55D5" w:rsidRDefault="001F55D5" w:rsidP="001F55D5">
      <w:pPr>
        <w:rPr>
          <w:rStyle w:val="CourierCode"/>
        </w:rPr>
      </w:pPr>
      <w:r w:rsidRPr="001F55D5">
        <w:rPr>
          <w:rStyle w:val="CourierCode"/>
        </w:rPr>
        <w:t xml:space="preserve">    </w:t>
      </w:r>
      <w:proofErr w:type="gramStart"/>
      <w:r w:rsidRPr="001F55D5">
        <w:rPr>
          <w:rStyle w:val="CourierCode"/>
        </w:rPr>
        <w:t>at</w:t>
      </w:r>
      <w:proofErr w:type="gramEnd"/>
      <w:r w:rsidRPr="001F55D5">
        <w:rPr>
          <w:rStyle w:val="CourierCode"/>
        </w:rPr>
        <w:t xml:space="preserve"> EQ-&gt;FI date 05/01/03</w:t>
      </w:r>
    </w:p>
    <w:p w:rsidR="001F55D5" w:rsidRPr="001F55D5" w:rsidRDefault="001F55D5" w:rsidP="001F55D5">
      <w:pPr>
        <w:rPr>
          <w:rStyle w:val="CourierCode"/>
        </w:rPr>
      </w:pPr>
      <w:r w:rsidRPr="001F55D5">
        <w:rPr>
          <w:rStyle w:val="CourierCode"/>
        </w:rPr>
        <w:t xml:space="preserve">    </w:t>
      </w:r>
      <w:proofErr w:type="gramStart"/>
      <w:r w:rsidRPr="001F55D5">
        <w:rPr>
          <w:rStyle w:val="CourierCode"/>
        </w:rPr>
        <w:t>at</w:t>
      </w:r>
      <w:proofErr w:type="gramEnd"/>
      <w:r w:rsidRPr="001F55D5">
        <w:rPr>
          <w:rStyle w:val="CourierCode"/>
        </w:rPr>
        <w:t xml:space="preserve"> FI-&gt;EQ date 10/15/03</w:t>
      </w:r>
    </w:p>
    <w:p w:rsidR="001F55D5" w:rsidRPr="001F55D5" w:rsidRDefault="001F55D5" w:rsidP="001F55D5">
      <w:pPr>
        <w:rPr>
          <w:rStyle w:val="CourierCode"/>
        </w:rPr>
      </w:pPr>
      <w:r w:rsidRPr="001F55D5">
        <w:rPr>
          <w:rStyle w:val="CourierCode"/>
        </w:rPr>
        <w:t xml:space="preserve">  Annualized = </w:t>
      </w:r>
      <w:proofErr w:type="gramStart"/>
      <w:r w:rsidRPr="001F55D5">
        <w:rPr>
          <w:rStyle w:val="CourierCode"/>
        </w:rPr>
        <w:t>Overall</w:t>
      </w:r>
      <w:proofErr w:type="gramEnd"/>
      <w:r w:rsidRPr="001F55D5">
        <w:rPr>
          <w:rStyle w:val="CourierCode"/>
        </w:rPr>
        <w:t xml:space="preserve"> * 365/duration: 0.150074</w:t>
      </w:r>
    </w:p>
    <w:p w:rsidR="001F55D5" w:rsidRPr="001F55D5" w:rsidRDefault="001F55D5" w:rsidP="001F55D5">
      <w:pPr>
        <w:rPr>
          <w:rStyle w:val="CourierCode"/>
        </w:rPr>
      </w:pPr>
      <w:r w:rsidRPr="001F55D5">
        <w:rPr>
          <w:rStyle w:val="CourierCode"/>
        </w:rPr>
        <w:t>EQ period: start; end; gain; duration (days); return (annualized)</w:t>
      </w:r>
    </w:p>
    <w:p w:rsidR="001F55D5" w:rsidRPr="001F55D5" w:rsidRDefault="001F55D5" w:rsidP="001F55D5">
      <w:pPr>
        <w:rPr>
          <w:rStyle w:val="CourierCode"/>
        </w:rPr>
      </w:pPr>
      <w:proofErr w:type="gramStart"/>
      <w:r w:rsidRPr="001F55D5">
        <w:rPr>
          <w:rStyle w:val="CourierCode"/>
        </w:rPr>
        <w:t>ret</w:t>
      </w:r>
      <w:proofErr w:type="gramEnd"/>
      <w:r w:rsidRPr="001F55D5">
        <w:rPr>
          <w:rStyle w:val="CourierCode"/>
        </w:rPr>
        <w:t xml:space="preserve"> =</w:t>
      </w:r>
    </w:p>
    <w:p w:rsidR="001F55D5" w:rsidRPr="001F55D5" w:rsidRDefault="001F55D5" w:rsidP="001F55D5">
      <w:pPr>
        <w:rPr>
          <w:rStyle w:val="CourierCode"/>
        </w:rPr>
      </w:pPr>
    </w:p>
    <w:p w:rsidR="001F55D5" w:rsidRPr="001F55D5" w:rsidRDefault="001F55D5" w:rsidP="001F55D5">
      <w:pPr>
        <w:rPr>
          <w:rStyle w:val="CourierCode"/>
        </w:rPr>
      </w:pPr>
      <w:r w:rsidRPr="001F55D5">
        <w:rPr>
          <w:rStyle w:val="CourierCode"/>
        </w:rPr>
        <w:t xml:space="preserve">  Columns 1 through 5</w:t>
      </w:r>
    </w:p>
    <w:p w:rsidR="001F55D5" w:rsidRPr="001F55D5" w:rsidRDefault="001F55D5" w:rsidP="001F55D5">
      <w:pPr>
        <w:rPr>
          <w:rStyle w:val="CourierCode"/>
        </w:rPr>
      </w:pPr>
    </w:p>
    <w:p w:rsidR="001F55D5" w:rsidRPr="001F55D5" w:rsidRDefault="001F55D5" w:rsidP="001F55D5">
      <w:pPr>
        <w:rPr>
          <w:rStyle w:val="CourierCode"/>
        </w:rPr>
      </w:pPr>
      <w:r w:rsidRPr="001F55D5">
        <w:rPr>
          <w:rStyle w:val="CourierCode"/>
        </w:rPr>
        <w:t xml:space="preserve">        10144        11254        12075        14009        16071</w:t>
      </w:r>
    </w:p>
    <w:p w:rsidR="001F55D5" w:rsidRPr="001F55D5" w:rsidRDefault="001F55D5" w:rsidP="001F55D5">
      <w:pPr>
        <w:rPr>
          <w:rStyle w:val="CourierCode"/>
        </w:rPr>
      </w:pPr>
      <w:r w:rsidRPr="001F55D5">
        <w:rPr>
          <w:rStyle w:val="CourierCode"/>
        </w:rPr>
        <w:t xml:space="preserve">        10904        11937        13590        15403        14558</w:t>
      </w:r>
    </w:p>
    <w:p w:rsidR="001F55D5" w:rsidRPr="001F55D5" w:rsidRDefault="001F55D5" w:rsidP="001F55D5">
      <w:pPr>
        <w:rPr>
          <w:rStyle w:val="CourierCode"/>
        </w:rPr>
      </w:pPr>
      <w:r w:rsidRPr="001F55D5">
        <w:rPr>
          <w:rStyle w:val="CourierCode"/>
        </w:rPr>
        <w:t xml:space="preserve">       759.92        683.3       1514.3       1393.9      -1513.2</w:t>
      </w:r>
    </w:p>
    <w:p w:rsidR="001F55D5" w:rsidRPr="001F55D5" w:rsidRDefault="001F55D5" w:rsidP="001F55D5">
      <w:pPr>
        <w:rPr>
          <w:rStyle w:val="CourierCode"/>
        </w:rPr>
      </w:pPr>
      <w:r w:rsidRPr="001F55D5">
        <w:rPr>
          <w:rStyle w:val="CourierCode"/>
        </w:rPr>
        <w:t xml:space="preserve">          199          197          196          199          201</w:t>
      </w:r>
    </w:p>
    <w:p w:rsidR="001F55D5" w:rsidRPr="001F55D5" w:rsidRDefault="001F55D5" w:rsidP="001F55D5">
      <w:pPr>
        <w:rPr>
          <w:rStyle w:val="CourierCode"/>
        </w:rPr>
      </w:pPr>
      <w:r w:rsidRPr="001F55D5">
        <w:rPr>
          <w:rStyle w:val="CourierCode"/>
        </w:rPr>
        <w:t xml:space="preserve">      0.13741       0.1125      0.23353       0.1825     -0.17098</w:t>
      </w:r>
    </w:p>
    <w:p w:rsidR="001F55D5" w:rsidRPr="001F55D5" w:rsidRDefault="001F55D5" w:rsidP="001F55D5">
      <w:pPr>
        <w:rPr>
          <w:rStyle w:val="CourierCode"/>
        </w:rPr>
      </w:pPr>
    </w:p>
    <w:p w:rsidR="001F55D5" w:rsidRPr="001F55D5" w:rsidRDefault="001F55D5" w:rsidP="001F55D5">
      <w:pPr>
        <w:rPr>
          <w:rStyle w:val="CourierCode"/>
        </w:rPr>
      </w:pPr>
      <w:r w:rsidRPr="001F55D5">
        <w:rPr>
          <w:rStyle w:val="CourierCode"/>
        </w:rPr>
        <w:t xml:space="preserve">  Columns 6 through 10</w:t>
      </w:r>
    </w:p>
    <w:p w:rsidR="001F55D5" w:rsidRPr="001F55D5" w:rsidRDefault="001F55D5" w:rsidP="001F55D5">
      <w:pPr>
        <w:rPr>
          <w:rStyle w:val="CourierCode"/>
        </w:rPr>
      </w:pPr>
    </w:p>
    <w:p w:rsidR="001F55D5" w:rsidRPr="001F55D5" w:rsidRDefault="001F55D5" w:rsidP="001F55D5">
      <w:pPr>
        <w:rPr>
          <w:rStyle w:val="CourierCode"/>
        </w:rPr>
      </w:pPr>
      <w:r w:rsidRPr="001F55D5">
        <w:rPr>
          <w:rStyle w:val="CourierCode"/>
        </w:rPr>
        <w:t xml:space="preserve">        15238        15355        17420        20715        24869</w:t>
      </w:r>
    </w:p>
    <w:p w:rsidR="001F55D5" w:rsidRPr="001F55D5" w:rsidRDefault="001F55D5" w:rsidP="001F55D5">
      <w:pPr>
        <w:rPr>
          <w:rStyle w:val="CourierCode"/>
        </w:rPr>
      </w:pPr>
      <w:r w:rsidRPr="001F55D5">
        <w:rPr>
          <w:rStyle w:val="CourierCode"/>
        </w:rPr>
        <w:lastRenderedPageBreak/>
        <w:t xml:space="preserve">        15074        16849        20485        24630        24510</w:t>
      </w:r>
    </w:p>
    <w:p w:rsidR="001F55D5" w:rsidRPr="001F55D5" w:rsidRDefault="001F55D5" w:rsidP="001F55D5">
      <w:pPr>
        <w:rPr>
          <w:rStyle w:val="CourierCode"/>
        </w:rPr>
      </w:pPr>
      <w:r w:rsidRPr="001F55D5">
        <w:rPr>
          <w:rStyle w:val="CourierCode"/>
        </w:rPr>
        <w:t xml:space="preserve">      -164.32       1493.9       3065.3       3915.3      -358.77</w:t>
      </w:r>
    </w:p>
    <w:p w:rsidR="001F55D5" w:rsidRPr="001F55D5" w:rsidRDefault="001F55D5" w:rsidP="001F55D5">
      <w:pPr>
        <w:rPr>
          <w:rStyle w:val="CourierCode"/>
        </w:rPr>
      </w:pPr>
      <w:r w:rsidRPr="001F55D5">
        <w:rPr>
          <w:rStyle w:val="CourierCode"/>
        </w:rPr>
        <w:t xml:space="preserve">          198          198          197          199           77</w:t>
      </w:r>
    </w:p>
    <w:p w:rsidR="001F55D5" w:rsidRPr="001F55D5" w:rsidRDefault="001F55D5" w:rsidP="001F55D5">
      <w:pPr>
        <w:rPr>
          <w:rStyle w:val="CourierCode"/>
        </w:rPr>
      </w:pPr>
      <w:r w:rsidRPr="001F55D5">
        <w:rPr>
          <w:rStyle w:val="CourierCode"/>
        </w:rPr>
        <w:t xml:space="preserve">    -0.019878      0.17934      0.32603      0.34667    -0.068386</w:t>
      </w:r>
    </w:p>
    <w:p w:rsidR="001F55D5" w:rsidRPr="001F55D5" w:rsidRDefault="001F55D5" w:rsidP="001F55D5">
      <w:pPr>
        <w:rPr>
          <w:rStyle w:val="CourierCode"/>
        </w:rPr>
      </w:pPr>
    </w:p>
    <w:p w:rsidR="001F55D5" w:rsidRPr="001F55D5" w:rsidRDefault="001F55D5" w:rsidP="001F55D5">
      <w:pPr>
        <w:rPr>
          <w:rStyle w:val="CourierCode"/>
        </w:rPr>
      </w:pPr>
      <w:r w:rsidRPr="001F55D5">
        <w:rPr>
          <w:rStyle w:val="CourierCode"/>
        </w:rPr>
        <w:t>FI period: start; end; gain; duration (days); return (annualized)</w:t>
      </w:r>
    </w:p>
    <w:p w:rsidR="001F55D5" w:rsidRPr="001F55D5" w:rsidRDefault="001F55D5" w:rsidP="001F55D5">
      <w:pPr>
        <w:rPr>
          <w:rStyle w:val="CourierCode"/>
        </w:rPr>
      </w:pPr>
      <w:proofErr w:type="gramStart"/>
      <w:r w:rsidRPr="001F55D5">
        <w:rPr>
          <w:rStyle w:val="CourierCode"/>
        </w:rPr>
        <w:t>ret</w:t>
      </w:r>
      <w:proofErr w:type="gramEnd"/>
      <w:r w:rsidRPr="001F55D5">
        <w:rPr>
          <w:rStyle w:val="CourierCode"/>
        </w:rPr>
        <w:t xml:space="preserve"> =</w:t>
      </w:r>
    </w:p>
    <w:p w:rsidR="001F55D5" w:rsidRPr="001F55D5" w:rsidRDefault="001F55D5" w:rsidP="001F55D5">
      <w:pPr>
        <w:rPr>
          <w:rStyle w:val="CourierCode"/>
        </w:rPr>
      </w:pPr>
    </w:p>
    <w:p w:rsidR="001F55D5" w:rsidRPr="001F55D5" w:rsidRDefault="001F55D5" w:rsidP="001F55D5">
      <w:pPr>
        <w:rPr>
          <w:rStyle w:val="CourierCode"/>
        </w:rPr>
      </w:pPr>
      <w:r w:rsidRPr="001F55D5">
        <w:rPr>
          <w:rStyle w:val="CourierCode"/>
        </w:rPr>
        <w:t xml:space="preserve">  Columns 1 through 5</w:t>
      </w:r>
    </w:p>
    <w:p w:rsidR="001F55D5" w:rsidRPr="001F55D5" w:rsidRDefault="001F55D5" w:rsidP="001F55D5">
      <w:pPr>
        <w:rPr>
          <w:rStyle w:val="CourierCode"/>
        </w:rPr>
      </w:pPr>
    </w:p>
    <w:p w:rsidR="001F55D5" w:rsidRPr="001F55D5" w:rsidRDefault="001F55D5" w:rsidP="001F55D5">
      <w:pPr>
        <w:rPr>
          <w:rStyle w:val="CourierCode"/>
        </w:rPr>
      </w:pPr>
      <w:r w:rsidRPr="001F55D5">
        <w:rPr>
          <w:rStyle w:val="CourierCode"/>
        </w:rPr>
        <w:t xml:space="preserve">        10000        10904        11937        13590        15403</w:t>
      </w:r>
    </w:p>
    <w:p w:rsidR="001F55D5" w:rsidRPr="001F55D5" w:rsidRDefault="001F55D5" w:rsidP="001F55D5">
      <w:pPr>
        <w:rPr>
          <w:rStyle w:val="CourierCode"/>
        </w:rPr>
      </w:pPr>
      <w:r w:rsidRPr="001F55D5">
        <w:rPr>
          <w:rStyle w:val="CourierCode"/>
        </w:rPr>
        <w:t xml:space="preserve">        10144        11254        12075        14009        16071</w:t>
      </w:r>
    </w:p>
    <w:p w:rsidR="001F55D5" w:rsidRPr="001F55D5" w:rsidRDefault="001F55D5" w:rsidP="001F55D5">
      <w:pPr>
        <w:rPr>
          <w:rStyle w:val="CourierCode"/>
        </w:rPr>
      </w:pPr>
      <w:r w:rsidRPr="001F55D5">
        <w:rPr>
          <w:rStyle w:val="CourierCode"/>
        </w:rPr>
        <w:t xml:space="preserve">       143.71       349.92       138.62       419.61       667.73</w:t>
      </w:r>
    </w:p>
    <w:p w:rsidR="001F55D5" w:rsidRPr="001F55D5" w:rsidRDefault="001F55D5" w:rsidP="001F55D5">
      <w:pPr>
        <w:rPr>
          <w:rStyle w:val="CourierCode"/>
        </w:rPr>
      </w:pPr>
      <w:r w:rsidRPr="001F55D5">
        <w:rPr>
          <w:rStyle w:val="CourierCode"/>
        </w:rPr>
        <w:t xml:space="preserve">          166          167          168          168          165</w:t>
      </w:r>
    </w:p>
    <w:p w:rsidR="001F55D5" w:rsidRPr="001F55D5" w:rsidRDefault="001F55D5" w:rsidP="001F55D5">
      <w:pPr>
        <w:rPr>
          <w:rStyle w:val="CourierCode"/>
        </w:rPr>
      </w:pPr>
      <w:r w:rsidRPr="001F55D5">
        <w:rPr>
          <w:rStyle w:val="CourierCode"/>
        </w:rPr>
        <w:t xml:space="preserve">     0.031599     0.070141      0.02523     0.067084     0.095894</w:t>
      </w:r>
    </w:p>
    <w:p w:rsidR="001F55D5" w:rsidRPr="001F55D5" w:rsidRDefault="001F55D5" w:rsidP="001F55D5">
      <w:pPr>
        <w:rPr>
          <w:rStyle w:val="CourierCode"/>
        </w:rPr>
      </w:pPr>
    </w:p>
    <w:p w:rsidR="001F55D5" w:rsidRPr="001F55D5" w:rsidRDefault="001F55D5" w:rsidP="001F55D5">
      <w:pPr>
        <w:rPr>
          <w:rStyle w:val="CourierCode"/>
        </w:rPr>
      </w:pPr>
      <w:r w:rsidRPr="001F55D5">
        <w:rPr>
          <w:rStyle w:val="CourierCode"/>
        </w:rPr>
        <w:t xml:space="preserve">  Columns 6 through 10</w:t>
      </w:r>
    </w:p>
    <w:p w:rsidR="001F55D5" w:rsidRPr="001F55D5" w:rsidRDefault="001F55D5" w:rsidP="001F55D5">
      <w:pPr>
        <w:rPr>
          <w:rStyle w:val="CourierCode"/>
        </w:rPr>
      </w:pPr>
    </w:p>
    <w:p w:rsidR="001F55D5" w:rsidRPr="001F55D5" w:rsidRDefault="001F55D5" w:rsidP="001F55D5">
      <w:pPr>
        <w:rPr>
          <w:rStyle w:val="CourierCode"/>
        </w:rPr>
      </w:pPr>
      <w:r w:rsidRPr="001F55D5">
        <w:rPr>
          <w:rStyle w:val="CourierCode"/>
        </w:rPr>
        <w:t xml:space="preserve">        14558        15074        16849        20485        24630</w:t>
      </w:r>
    </w:p>
    <w:p w:rsidR="001F55D5" w:rsidRPr="001F55D5" w:rsidRDefault="001F55D5" w:rsidP="001F55D5">
      <w:pPr>
        <w:rPr>
          <w:rStyle w:val="CourierCode"/>
        </w:rPr>
      </w:pPr>
      <w:r w:rsidRPr="001F55D5">
        <w:rPr>
          <w:rStyle w:val="CourierCode"/>
        </w:rPr>
        <w:t xml:space="preserve">        15238        15355        17420        20715        24869</w:t>
      </w:r>
    </w:p>
    <w:p w:rsidR="001F55D5" w:rsidRPr="001F55D5" w:rsidRDefault="001F55D5" w:rsidP="001F55D5">
      <w:pPr>
        <w:rPr>
          <w:rStyle w:val="CourierCode"/>
        </w:rPr>
      </w:pPr>
      <w:r w:rsidRPr="001F55D5">
        <w:rPr>
          <w:rStyle w:val="CourierCode"/>
        </w:rPr>
        <w:t xml:space="preserve">       680.08       281.53       570.73       229.77       238.56</w:t>
      </w:r>
    </w:p>
    <w:p w:rsidR="001F55D5" w:rsidRPr="001F55D5" w:rsidRDefault="001F55D5" w:rsidP="001F55D5">
      <w:pPr>
        <w:rPr>
          <w:rStyle w:val="CourierCode"/>
        </w:rPr>
      </w:pPr>
      <w:r w:rsidRPr="001F55D5">
        <w:rPr>
          <w:rStyle w:val="CourierCode"/>
        </w:rPr>
        <w:t xml:space="preserve">          167          167          167          168          165</w:t>
      </w:r>
    </w:p>
    <w:p w:rsidR="001F55D5" w:rsidRPr="001F55D5" w:rsidRDefault="001F55D5" w:rsidP="001F55D5">
      <w:pPr>
        <w:rPr>
          <w:rStyle w:val="CourierCode"/>
        </w:rPr>
      </w:pPr>
      <w:r w:rsidRPr="001F55D5">
        <w:rPr>
          <w:rStyle w:val="CourierCode"/>
        </w:rPr>
        <w:t xml:space="preserve">       0.1021     0.040821     0.074035     0.024369     0.021426</w:t>
      </w:r>
    </w:p>
    <w:p w:rsidR="001F55D5" w:rsidRDefault="001F55D5"/>
    <w:p w:rsidR="001F55D5" w:rsidRDefault="001F55D5">
      <w:r>
        <w:t>Varying the start and end dates, I find the optimal dates are very similar to the MDY and SHY case:</w:t>
      </w:r>
    </w:p>
    <w:p w:rsidR="001F55D5" w:rsidRPr="001F55D5" w:rsidRDefault="001F55D5" w:rsidP="001F55D5">
      <w:pPr>
        <w:rPr>
          <w:rStyle w:val="CourierCode"/>
        </w:rPr>
      </w:pPr>
      <w:r w:rsidRPr="001F55D5">
        <w:rPr>
          <w:rStyle w:val="CourierCode"/>
        </w:rPr>
        <w:t xml:space="preserve">Max Return of 0.152280 </w:t>
      </w:r>
    </w:p>
    <w:p w:rsidR="001F55D5" w:rsidRPr="001F55D5" w:rsidRDefault="001F55D5" w:rsidP="001F55D5">
      <w:pPr>
        <w:rPr>
          <w:rStyle w:val="CourierCode"/>
        </w:rPr>
      </w:pPr>
      <w:r w:rsidRPr="001F55D5">
        <w:rPr>
          <w:rStyle w:val="CourierCode"/>
        </w:rPr>
        <w:tab/>
      </w:r>
      <w:proofErr w:type="gramStart"/>
      <w:r w:rsidRPr="001F55D5">
        <w:rPr>
          <w:rStyle w:val="CourierCode"/>
        </w:rPr>
        <w:t>at</w:t>
      </w:r>
      <w:proofErr w:type="gramEnd"/>
      <w:r w:rsidRPr="001F55D5">
        <w:rPr>
          <w:rStyle w:val="CourierCode"/>
        </w:rPr>
        <w:t xml:space="preserve"> EQ-&gt;FI date 05/01</w:t>
      </w:r>
    </w:p>
    <w:p w:rsidR="001F55D5" w:rsidRPr="001F55D5" w:rsidRDefault="001F55D5" w:rsidP="001F55D5">
      <w:pPr>
        <w:rPr>
          <w:rStyle w:val="CourierCode"/>
        </w:rPr>
      </w:pPr>
      <w:r w:rsidRPr="001F55D5">
        <w:rPr>
          <w:rStyle w:val="CourierCode"/>
        </w:rPr>
        <w:tab/>
      </w:r>
      <w:proofErr w:type="gramStart"/>
      <w:r w:rsidRPr="001F55D5">
        <w:rPr>
          <w:rStyle w:val="CourierCode"/>
        </w:rPr>
        <w:t>at</w:t>
      </w:r>
      <w:proofErr w:type="gramEnd"/>
      <w:r w:rsidRPr="001F55D5">
        <w:rPr>
          <w:rStyle w:val="CourierCode"/>
        </w:rPr>
        <w:t xml:space="preserve"> FI-&gt;EQ date 10/22</w:t>
      </w:r>
    </w:p>
    <w:p w:rsidR="005637ED" w:rsidRDefault="001F55D5" w:rsidP="005637ED">
      <w:r>
        <w:rPr>
          <w:noProof/>
        </w:rPr>
        <w:drawing>
          <wp:inline distT="0" distB="0" distL="0" distR="0">
            <wp:extent cx="5337810" cy="3997960"/>
            <wp:effectExtent l="0" t="0" r="0" b="2540"/>
            <wp:docPr id="10" name="Picture 10" descr="C:\Users\Class2014\Documents\Dropbox\CalendarStratTest\2003_2012_daily\compare_eq_fi_dates_SPY_S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lass2014\Documents\Dropbox\CalendarStratTest\2003_2012_daily\compare_eq_fi_dates_SPY_SH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1F55D5" w:rsidRDefault="001F55D5" w:rsidP="00F752EA">
      <w:pPr>
        <w:pStyle w:val="Heading1"/>
      </w:pPr>
      <w:r>
        <w:lastRenderedPageBreak/>
        <w:t>Conclusion</w:t>
      </w:r>
    </w:p>
    <w:p w:rsidR="001F55D5" w:rsidRDefault="001F55D5">
      <w:r>
        <w:tab/>
        <w:t xml:space="preserve">The calendar rotation strategy looks good.  </w:t>
      </w:r>
      <w:r w:rsidR="00F9239B">
        <w:t>Here are a summary of the returns, compared against the default “invest</w:t>
      </w:r>
      <w:r>
        <w:t xml:space="preserve"> </w:t>
      </w:r>
      <w:r w:rsidR="00F9239B">
        <w:t>in all equities all the time” strategy:</w:t>
      </w:r>
    </w:p>
    <w:tbl>
      <w:tblPr>
        <w:tblW w:w="4500" w:type="dxa"/>
        <w:jc w:val="center"/>
        <w:tblInd w:w="-72" w:type="dxa"/>
        <w:tblLook w:val="04A0" w:firstRow="1" w:lastRow="0" w:firstColumn="1" w:lastColumn="0" w:noHBand="0" w:noVBand="1"/>
      </w:tblPr>
      <w:tblGrid>
        <w:gridCol w:w="1507"/>
        <w:gridCol w:w="1103"/>
        <w:gridCol w:w="1890"/>
      </w:tblGrid>
      <w:tr w:rsidR="00F9239B" w:rsidRPr="00F9239B" w:rsidTr="00F9239B">
        <w:trPr>
          <w:trHeight w:val="300"/>
          <w:jc w:val="center"/>
        </w:trPr>
        <w:tc>
          <w:tcPr>
            <w:tcW w:w="4500" w:type="dxa"/>
            <w:gridSpan w:val="3"/>
            <w:tcBorders>
              <w:top w:val="nil"/>
              <w:left w:val="nil"/>
              <w:bottom w:val="nil"/>
              <w:right w:val="nil"/>
            </w:tcBorders>
            <w:shd w:val="clear" w:color="auto" w:fill="auto"/>
            <w:noWrap/>
            <w:vAlign w:val="bottom"/>
            <w:hideMark/>
          </w:tcPr>
          <w:p w:rsidR="00F9239B" w:rsidRPr="00F9239B" w:rsidRDefault="00F9239B" w:rsidP="00F9239B">
            <w:pPr>
              <w:spacing w:line="240" w:lineRule="auto"/>
              <w:jc w:val="center"/>
              <w:rPr>
                <w:rFonts w:ascii="Calibri" w:eastAsia="Times New Roman" w:hAnsi="Calibri" w:cs="Times New Roman"/>
                <w:color w:val="000000"/>
                <w:sz w:val="22"/>
                <w:szCs w:val="22"/>
              </w:rPr>
            </w:pPr>
            <w:r w:rsidRPr="00F9239B">
              <w:rPr>
                <w:rFonts w:ascii="Calibri" w:eastAsia="Times New Roman" w:hAnsi="Calibri" w:cs="Times New Roman"/>
                <w:color w:val="000000"/>
                <w:sz w:val="22"/>
                <w:szCs w:val="22"/>
              </w:rPr>
              <w:t>Fixed Income = SHY</w:t>
            </w:r>
          </w:p>
        </w:tc>
      </w:tr>
      <w:tr w:rsidR="00F9239B" w:rsidRPr="00F9239B" w:rsidTr="00F9239B">
        <w:trPr>
          <w:trHeight w:val="300"/>
          <w:jc w:val="center"/>
        </w:trPr>
        <w:tc>
          <w:tcPr>
            <w:tcW w:w="1507" w:type="dxa"/>
            <w:tcBorders>
              <w:top w:val="nil"/>
              <w:left w:val="nil"/>
              <w:bottom w:val="nil"/>
              <w:right w:val="nil"/>
            </w:tcBorders>
            <w:shd w:val="clear" w:color="auto" w:fill="auto"/>
            <w:noWrap/>
            <w:vAlign w:val="bottom"/>
            <w:hideMark/>
          </w:tcPr>
          <w:p w:rsidR="00F9239B" w:rsidRPr="00F9239B" w:rsidRDefault="00F9239B" w:rsidP="00F9239B">
            <w:pPr>
              <w:spacing w:line="240" w:lineRule="auto"/>
              <w:rPr>
                <w:rFonts w:ascii="Calibri" w:eastAsia="Times New Roman" w:hAnsi="Calibri" w:cs="Times New Roman"/>
                <w:color w:val="000000"/>
                <w:sz w:val="22"/>
                <w:szCs w:val="22"/>
              </w:rPr>
            </w:pPr>
          </w:p>
        </w:tc>
        <w:tc>
          <w:tcPr>
            <w:tcW w:w="1103" w:type="dxa"/>
            <w:tcBorders>
              <w:top w:val="nil"/>
              <w:left w:val="nil"/>
              <w:bottom w:val="nil"/>
              <w:right w:val="nil"/>
            </w:tcBorders>
            <w:shd w:val="clear" w:color="auto" w:fill="auto"/>
            <w:noWrap/>
            <w:vAlign w:val="bottom"/>
            <w:hideMark/>
          </w:tcPr>
          <w:p w:rsidR="00F9239B" w:rsidRPr="00F9239B" w:rsidRDefault="00F9239B" w:rsidP="00F9239B">
            <w:pPr>
              <w:spacing w:line="240" w:lineRule="auto"/>
              <w:rPr>
                <w:rFonts w:ascii="Calibri" w:eastAsia="Times New Roman" w:hAnsi="Calibri" w:cs="Times New Roman"/>
                <w:color w:val="000000"/>
                <w:sz w:val="22"/>
                <w:szCs w:val="22"/>
              </w:rPr>
            </w:pPr>
            <w:r w:rsidRPr="00F9239B">
              <w:rPr>
                <w:rFonts w:ascii="Calibri" w:eastAsia="Times New Roman" w:hAnsi="Calibri" w:cs="Times New Roman"/>
                <w:color w:val="000000"/>
                <w:sz w:val="22"/>
                <w:szCs w:val="22"/>
              </w:rPr>
              <w:t>All Equity</w:t>
            </w:r>
          </w:p>
        </w:tc>
        <w:tc>
          <w:tcPr>
            <w:tcW w:w="1890" w:type="dxa"/>
            <w:tcBorders>
              <w:top w:val="nil"/>
              <w:left w:val="nil"/>
              <w:bottom w:val="nil"/>
              <w:right w:val="nil"/>
            </w:tcBorders>
            <w:shd w:val="clear" w:color="auto" w:fill="auto"/>
            <w:noWrap/>
            <w:vAlign w:val="bottom"/>
            <w:hideMark/>
          </w:tcPr>
          <w:p w:rsidR="00F9239B" w:rsidRPr="00F9239B" w:rsidRDefault="00F9239B" w:rsidP="00F9239B">
            <w:pPr>
              <w:spacing w:line="240" w:lineRule="auto"/>
              <w:rPr>
                <w:rFonts w:ascii="Calibri" w:eastAsia="Times New Roman" w:hAnsi="Calibri" w:cs="Times New Roman"/>
                <w:color w:val="000000"/>
                <w:sz w:val="22"/>
                <w:szCs w:val="22"/>
              </w:rPr>
            </w:pPr>
            <w:r w:rsidRPr="00F9239B">
              <w:rPr>
                <w:rFonts w:ascii="Calibri" w:eastAsia="Times New Roman" w:hAnsi="Calibri" w:cs="Times New Roman"/>
                <w:color w:val="000000"/>
                <w:sz w:val="22"/>
                <w:szCs w:val="22"/>
              </w:rPr>
              <w:t>Calendar Rotation</w:t>
            </w:r>
          </w:p>
        </w:tc>
      </w:tr>
      <w:tr w:rsidR="00F9239B" w:rsidRPr="00F9239B" w:rsidTr="00F9239B">
        <w:trPr>
          <w:trHeight w:val="300"/>
          <w:jc w:val="center"/>
        </w:trPr>
        <w:tc>
          <w:tcPr>
            <w:tcW w:w="1507" w:type="dxa"/>
            <w:tcBorders>
              <w:top w:val="nil"/>
              <w:left w:val="nil"/>
              <w:bottom w:val="nil"/>
              <w:right w:val="nil"/>
            </w:tcBorders>
            <w:shd w:val="clear" w:color="auto" w:fill="auto"/>
            <w:noWrap/>
            <w:vAlign w:val="bottom"/>
            <w:hideMark/>
          </w:tcPr>
          <w:p w:rsidR="00F9239B" w:rsidRPr="00F9239B" w:rsidRDefault="00F9239B" w:rsidP="00F9239B">
            <w:pPr>
              <w:spacing w:line="240" w:lineRule="auto"/>
              <w:rPr>
                <w:rFonts w:ascii="Calibri" w:eastAsia="Times New Roman" w:hAnsi="Calibri" w:cs="Times New Roman"/>
                <w:color w:val="000000"/>
                <w:sz w:val="22"/>
                <w:szCs w:val="22"/>
              </w:rPr>
            </w:pPr>
            <w:r w:rsidRPr="00F9239B">
              <w:rPr>
                <w:rFonts w:ascii="Calibri" w:eastAsia="Times New Roman" w:hAnsi="Calibri" w:cs="Times New Roman"/>
                <w:color w:val="000000"/>
                <w:sz w:val="22"/>
                <w:szCs w:val="22"/>
              </w:rPr>
              <w:t>Equity = MDY</w:t>
            </w:r>
          </w:p>
        </w:tc>
        <w:tc>
          <w:tcPr>
            <w:tcW w:w="1103" w:type="dxa"/>
            <w:tcBorders>
              <w:top w:val="nil"/>
              <w:left w:val="nil"/>
              <w:bottom w:val="nil"/>
              <w:right w:val="nil"/>
            </w:tcBorders>
            <w:shd w:val="clear" w:color="auto" w:fill="auto"/>
            <w:noWrap/>
            <w:vAlign w:val="bottom"/>
            <w:hideMark/>
          </w:tcPr>
          <w:p w:rsidR="00F9239B" w:rsidRPr="00F9239B" w:rsidRDefault="00F9239B" w:rsidP="00F9239B">
            <w:pPr>
              <w:spacing w:line="240" w:lineRule="auto"/>
              <w:jc w:val="right"/>
              <w:rPr>
                <w:rFonts w:ascii="Calibri" w:eastAsia="Times New Roman" w:hAnsi="Calibri" w:cs="Times New Roman"/>
                <w:color w:val="000000"/>
                <w:sz w:val="22"/>
                <w:szCs w:val="22"/>
              </w:rPr>
            </w:pPr>
            <w:r w:rsidRPr="00F9239B">
              <w:rPr>
                <w:rFonts w:ascii="Calibri" w:eastAsia="Times New Roman" w:hAnsi="Calibri" w:cs="Times New Roman"/>
                <w:color w:val="000000"/>
                <w:sz w:val="22"/>
                <w:szCs w:val="22"/>
              </w:rPr>
              <w:t>12.6%</w:t>
            </w:r>
          </w:p>
        </w:tc>
        <w:tc>
          <w:tcPr>
            <w:tcW w:w="1890" w:type="dxa"/>
            <w:tcBorders>
              <w:top w:val="nil"/>
              <w:left w:val="nil"/>
              <w:bottom w:val="nil"/>
              <w:right w:val="nil"/>
            </w:tcBorders>
            <w:shd w:val="clear" w:color="auto" w:fill="auto"/>
            <w:noWrap/>
            <w:vAlign w:val="bottom"/>
            <w:hideMark/>
          </w:tcPr>
          <w:p w:rsidR="00F9239B" w:rsidRPr="00F9239B" w:rsidRDefault="00F9239B" w:rsidP="00F9239B">
            <w:pPr>
              <w:spacing w:line="240" w:lineRule="auto"/>
              <w:jc w:val="right"/>
              <w:rPr>
                <w:rFonts w:ascii="Calibri" w:eastAsia="Times New Roman" w:hAnsi="Calibri" w:cs="Times New Roman"/>
                <w:color w:val="000000"/>
                <w:sz w:val="22"/>
                <w:szCs w:val="22"/>
              </w:rPr>
            </w:pPr>
            <w:r w:rsidRPr="00F9239B">
              <w:rPr>
                <w:rFonts w:ascii="Calibri" w:eastAsia="Times New Roman" w:hAnsi="Calibri" w:cs="Times New Roman"/>
                <w:color w:val="000000"/>
                <w:sz w:val="22"/>
                <w:szCs w:val="22"/>
              </w:rPr>
              <w:t>26.3%</w:t>
            </w:r>
          </w:p>
        </w:tc>
      </w:tr>
      <w:tr w:rsidR="00F9239B" w:rsidRPr="00F9239B" w:rsidTr="00F9239B">
        <w:trPr>
          <w:trHeight w:val="300"/>
          <w:jc w:val="center"/>
        </w:trPr>
        <w:tc>
          <w:tcPr>
            <w:tcW w:w="1507" w:type="dxa"/>
            <w:tcBorders>
              <w:top w:val="nil"/>
              <w:left w:val="nil"/>
              <w:bottom w:val="nil"/>
              <w:right w:val="nil"/>
            </w:tcBorders>
            <w:shd w:val="clear" w:color="auto" w:fill="auto"/>
            <w:noWrap/>
            <w:vAlign w:val="bottom"/>
            <w:hideMark/>
          </w:tcPr>
          <w:p w:rsidR="00F9239B" w:rsidRPr="00F9239B" w:rsidRDefault="00F9239B" w:rsidP="00F9239B">
            <w:pPr>
              <w:spacing w:line="240" w:lineRule="auto"/>
              <w:rPr>
                <w:rFonts w:ascii="Calibri" w:eastAsia="Times New Roman" w:hAnsi="Calibri" w:cs="Times New Roman"/>
                <w:color w:val="000000"/>
                <w:sz w:val="22"/>
                <w:szCs w:val="22"/>
              </w:rPr>
            </w:pPr>
            <w:r w:rsidRPr="00F9239B">
              <w:rPr>
                <w:rFonts w:ascii="Calibri" w:eastAsia="Times New Roman" w:hAnsi="Calibri" w:cs="Times New Roman"/>
                <w:color w:val="000000"/>
                <w:sz w:val="22"/>
                <w:szCs w:val="22"/>
              </w:rPr>
              <w:t>Equity = SPY</w:t>
            </w:r>
          </w:p>
        </w:tc>
        <w:tc>
          <w:tcPr>
            <w:tcW w:w="1103" w:type="dxa"/>
            <w:tcBorders>
              <w:top w:val="nil"/>
              <w:left w:val="nil"/>
              <w:bottom w:val="nil"/>
              <w:right w:val="nil"/>
            </w:tcBorders>
            <w:shd w:val="clear" w:color="auto" w:fill="auto"/>
            <w:noWrap/>
            <w:vAlign w:val="bottom"/>
            <w:hideMark/>
          </w:tcPr>
          <w:p w:rsidR="00F9239B" w:rsidRPr="00F9239B" w:rsidRDefault="00F752EA" w:rsidP="00F9239B">
            <w:pPr>
              <w:spacing w:line="240" w:lineRule="auto"/>
              <w:jc w:val="right"/>
              <w:rPr>
                <w:rFonts w:ascii="Calibri" w:eastAsia="Times New Roman" w:hAnsi="Calibri" w:cs="Times New Roman"/>
                <w:color w:val="000000"/>
                <w:sz w:val="22"/>
                <w:szCs w:val="22"/>
              </w:rPr>
            </w:pPr>
            <w:r w:rsidRPr="00F752EA">
              <w:rPr>
                <w:rFonts w:ascii="Calibri" w:eastAsia="Times New Roman" w:hAnsi="Calibri" w:cs="Times New Roman"/>
                <w:color w:val="000000"/>
                <w:sz w:val="22"/>
                <w:szCs w:val="22"/>
              </w:rPr>
              <w:t>9.1%</w:t>
            </w:r>
          </w:p>
        </w:tc>
        <w:tc>
          <w:tcPr>
            <w:tcW w:w="1890" w:type="dxa"/>
            <w:tcBorders>
              <w:top w:val="nil"/>
              <w:left w:val="nil"/>
              <w:bottom w:val="nil"/>
              <w:right w:val="nil"/>
            </w:tcBorders>
            <w:shd w:val="clear" w:color="auto" w:fill="auto"/>
            <w:noWrap/>
            <w:vAlign w:val="bottom"/>
            <w:hideMark/>
          </w:tcPr>
          <w:p w:rsidR="00F9239B" w:rsidRPr="00F9239B" w:rsidRDefault="00F9239B" w:rsidP="00F9239B">
            <w:pPr>
              <w:spacing w:line="240" w:lineRule="auto"/>
              <w:jc w:val="right"/>
              <w:rPr>
                <w:rFonts w:ascii="Calibri" w:eastAsia="Times New Roman" w:hAnsi="Calibri" w:cs="Times New Roman"/>
                <w:color w:val="000000"/>
                <w:sz w:val="22"/>
                <w:szCs w:val="22"/>
              </w:rPr>
            </w:pPr>
            <w:r w:rsidRPr="00F9239B">
              <w:rPr>
                <w:rFonts w:ascii="Calibri" w:eastAsia="Times New Roman" w:hAnsi="Calibri" w:cs="Times New Roman"/>
                <w:color w:val="000000"/>
                <w:sz w:val="22"/>
                <w:szCs w:val="22"/>
              </w:rPr>
              <w:t>15.2%</w:t>
            </w:r>
          </w:p>
        </w:tc>
      </w:tr>
    </w:tbl>
    <w:p w:rsidR="00F9239B" w:rsidRDefault="001B6BD7">
      <w:r>
        <w:tab/>
        <w:t xml:space="preserve">The </w:t>
      </w:r>
      <w:r w:rsidR="00F752EA">
        <w:t>main</w:t>
      </w:r>
      <w:r>
        <w:t xml:space="preserve"> disadvantage to the strategy is that effectiveness is only plausibly guaranteed in the long run.  One must hold to the strategy for many years, even if the first few turn out bad due to bad timing, in order to see it work.  Additionally, </w:t>
      </w:r>
      <w:r w:rsidRPr="001B6BD7">
        <w:rPr>
          <w:i/>
        </w:rPr>
        <w:t>past performance does not guarantee future results</w:t>
      </w:r>
      <w:r>
        <w:t>, so it is entirely possible this strategy may fail in the future due to a change in culture, trends, market conditions, etc.</w:t>
      </w:r>
    </w:p>
    <w:p w:rsidR="00F752EA" w:rsidRDefault="00F752EA">
      <w:r>
        <w:tab/>
        <w:t>Future work might analyze the strategy over different kinds of equities and fixed income assets.  For example, would the trend prove stronger if shorter term bonds were used instead of 1-3 year treasury bonds?  There are many different possibilities to try.</w:t>
      </w:r>
      <w:bookmarkStart w:id="0" w:name="_GoBack"/>
      <w:bookmarkEnd w:id="0"/>
    </w:p>
    <w:sectPr w:rsidR="00F752EA" w:rsidSect="00F752EA">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4DB" w:rsidRDefault="001974DB" w:rsidP="00A2741D">
      <w:pPr>
        <w:spacing w:line="240" w:lineRule="auto"/>
      </w:pPr>
      <w:r>
        <w:separator/>
      </w:r>
    </w:p>
  </w:endnote>
  <w:endnote w:type="continuationSeparator" w:id="0">
    <w:p w:rsidR="001974DB" w:rsidRDefault="001974DB" w:rsidP="00A274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4DB" w:rsidRDefault="001974DB" w:rsidP="00A2741D">
      <w:pPr>
        <w:spacing w:line="240" w:lineRule="auto"/>
      </w:pPr>
      <w:r>
        <w:separator/>
      </w:r>
    </w:p>
  </w:footnote>
  <w:footnote w:type="continuationSeparator" w:id="0">
    <w:p w:rsidR="001974DB" w:rsidRDefault="001974DB" w:rsidP="00A274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41D" w:rsidRDefault="00A2741D">
    <w:pPr>
      <w:pStyle w:val="Header"/>
      <w:jc w:val="right"/>
    </w:pPr>
    <w:r>
      <w:t xml:space="preserve">Hutchison </w:t>
    </w:r>
    <w:sdt>
      <w:sdtPr>
        <w:id w:val="4085114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16C5B">
          <w:rPr>
            <w:noProof/>
          </w:rPr>
          <w:t>7</w:t>
        </w:r>
        <w:r>
          <w:rPr>
            <w:noProof/>
          </w:rPr>
          <w:fldChar w:fldCharType="end"/>
        </w:r>
      </w:sdtContent>
    </w:sdt>
  </w:p>
  <w:p w:rsidR="00A2741D" w:rsidRDefault="00A27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417D5"/>
    <w:multiLevelType w:val="hybridMultilevel"/>
    <w:tmpl w:val="FE12925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revisionView w:comment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5F7"/>
    <w:rsid w:val="000C4686"/>
    <w:rsid w:val="00174135"/>
    <w:rsid w:val="001974DB"/>
    <w:rsid w:val="001A0831"/>
    <w:rsid w:val="001B6BD7"/>
    <w:rsid w:val="001F55D5"/>
    <w:rsid w:val="002F6B29"/>
    <w:rsid w:val="004545F7"/>
    <w:rsid w:val="005637ED"/>
    <w:rsid w:val="006E6EEF"/>
    <w:rsid w:val="00751983"/>
    <w:rsid w:val="00997F41"/>
    <w:rsid w:val="009F226A"/>
    <w:rsid w:val="00A16C5B"/>
    <w:rsid w:val="00A2741D"/>
    <w:rsid w:val="00AD0855"/>
    <w:rsid w:val="00B653A6"/>
    <w:rsid w:val="00BD464F"/>
    <w:rsid w:val="00CB3E35"/>
    <w:rsid w:val="00CD0FFE"/>
    <w:rsid w:val="00D47BD3"/>
    <w:rsid w:val="00EE213E"/>
    <w:rsid w:val="00F032D1"/>
    <w:rsid w:val="00F1095B"/>
    <w:rsid w:val="00F752EA"/>
    <w:rsid w:val="00F9239B"/>
    <w:rsid w:val="00FA3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51983"/>
    <w:pPr>
      <w:shd w:val="clear" w:color="auto" w:fill="FFFFFF"/>
      <w:spacing w:before="150" w:after="150" w:line="330" w:lineRule="atLeast"/>
      <w:jc w:val="both"/>
      <w:outlineLvl w:val="0"/>
    </w:pPr>
    <w:rPr>
      <w:rFonts w:asciiTheme="majorHAnsi" w:hAnsiTheme="majorHAnsi" w:cs="Arial"/>
      <w:b/>
      <w:iCs/>
      <w:color w:val="365F91" w:themeColor="accent1" w:themeShade="BF"/>
      <w:sz w:val="28"/>
      <w:szCs w:val="21"/>
    </w:rPr>
  </w:style>
  <w:style w:type="paragraph" w:styleId="Heading2">
    <w:name w:val="heading 2"/>
    <w:basedOn w:val="Normal"/>
    <w:next w:val="Normal"/>
    <w:link w:val="Heading2Char"/>
    <w:autoRedefine/>
    <w:uiPriority w:val="9"/>
    <w:qFormat/>
    <w:rsid w:val="00751983"/>
    <w:pPr>
      <w:shd w:val="clear" w:color="auto" w:fill="FFFFFF"/>
      <w:spacing w:before="150" w:after="150" w:line="270" w:lineRule="atLeast"/>
      <w:jc w:val="both"/>
      <w:outlineLvl w:val="1"/>
    </w:pPr>
    <w:rPr>
      <w:rFonts w:asciiTheme="majorHAnsi" w:eastAsiaTheme="majorEastAsia" w:hAnsiTheme="majorHAnsi" w:cs="Arial"/>
      <w:b/>
      <w:color w:val="4F81BD" w:themeColor="accent1"/>
      <w:sz w:val="26"/>
      <w:szCs w:val="21"/>
    </w:rPr>
  </w:style>
  <w:style w:type="paragraph" w:styleId="Heading4">
    <w:name w:val="heading 4"/>
    <w:basedOn w:val="Normal"/>
    <w:next w:val="Normal"/>
    <w:link w:val="Heading4Char"/>
    <w:uiPriority w:val="9"/>
    <w:unhideWhenUsed/>
    <w:qFormat/>
    <w:rsid w:val="00F1095B"/>
    <w:pPr>
      <w:keepNext/>
      <w:keepLines/>
      <w:shd w:val="clear" w:color="auto" w:fill="FFFFFF"/>
      <w:spacing w:before="200" w:line="270" w:lineRule="atLeast"/>
      <w:jc w:val="both"/>
      <w:outlineLvl w:val="3"/>
    </w:pPr>
    <w:rPr>
      <w:rFonts w:asciiTheme="majorHAnsi" w:eastAsiaTheme="majorEastAsia" w:hAnsiTheme="majorHAnsi" w:cstheme="majorBidi"/>
      <w:b/>
      <w:bCs/>
      <w:i/>
      <w:iCs/>
      <w:color w:val="4F81BD" w:themeColor="accent1"/>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83"/>
    <w:rPr>
      <w:rFonts w:asciiTheme="majorHAnsi" w:hAnsiTheme="majorHAnsi" w:cs="Arial"/>
      <w:b/>
      <w:iCs/>
      <w:color w:val="365F91" w:themeColor="accent1" w:themeShade="BF"/>
      <w:sz w:val="28"/>
      <w:szCs w:val="21"/>
      <w:shd w:val="clear" w:color="auto" w:fill="FFFFFF"/>
    </w:rPr>
  </w:style>
  <w:style w:type="paragraph" w:styleId="Subtitle">
    <w:name w:val="Subtitle"/>
    <w:basedOn w:val="Normal"/>
    <w:next w:val="Normal"/>
    <w:link w:val="SubtitleChar"/>
    <w:uiPriority w:val="11"/>
    <w:qFormat/>
    <w:rsid w:val="00F1095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095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751983"/>
    <w:rPr>
      <w:rFonts w:asciiTheme="majorHAnsi" w:eastAsiaTheme="majorEastAsia" w:hAnsiTheme="majorHAnsi" w:cs="Arial"/>
      <w:b/>
      <w:color w:val="4F81BD" w:themeColor="accent1"/>
      <w:sz w:val="26"/>
      <w:szCs w:val="21"/>
      <w:shd w:val="clear" w:color="auto" w:fill="FFFFFF"/>
    </w:rPr>
  </w:style>
  <w:style w:type="character" w:customStyle="1" w:styleId="Heading4Char">
    <w:name w:val="Heading 4 Char"/>
    <w:basedOn w:val="DefaultParagraphFont"/>
    <w:link w:val="Heading4"/>
    <w:uiPriority w:val="9"/>
    <w:rsid w:val="00F1095B"/>
    <w:rPr>
      <w:rFonts w:asciiTheme="majorHAnsi" w:eastAsiaTheme="majorEastAsia" w:hAnsiTheme="majorHAnsi" w:cstheme="majorBidi"/>
      <w:b/>
      <w:bCs/>
      <w:i/>
      <w:iCs/>
      <w:color w:val="4F81BD" w:themeColor="accent1"/>
      <w:sz w:val="21"/>
      <w:szCs w:val="21"/>
      <w:shd w:val="clear" w:color="auto" w:fill="FFFFFF"/>
    </w:rPr>
  </w:style>
  <w:style w:type="paragraph" w:customStyle="1" w:styleId="CambriaMath">
    <w:name w:val="Cambria Math"/>
    <w:basedOn w:val="Normal"/>
    <w:link w:val="CambriaMathChar"/>
    <w:qFormat/>
    <w:rsid w:val="00BD464F"/>
    <w:rPr>
      <w:rFonts w:ascii="Cambria Math" w:hAnsi="Cambria Math"/>
    </w:rPr>
  </w:style>
  <w:style w:type="character" w:customStyle="1" w:styleId="CambriaMathChar">
    <w:name w:val="Cambria Math Char"/>
    <w:basedOn w:val="DefaultParagraphFont"/>
    <w:link w:val="CambriaMath"/>
    <w:rsid w:val="00BD464F"/>
    <w:rPr>
      <w:rFonts w:ascii="Cambria Math" w:hAnsi="Cambria Math"/>
    </w:rPr>
  </w:style>
  <w:style w:type="character" w:customStyle="1" w:styleId="CourierCode">
    <w:name w:val="Courier Code"/>
    <w:basedOn w:val="DefaultParagraphFont"/>
    <w:uiPriority w:val="1"/>
    <w:qFormat/>
    <w:rsid w:val="00174135"/>
    <w:rPr>
      <w:rFonts w:ascii="Courier New" w:hAnsi="Courier New" w:cs="Courier New"/>
      <w:sz w:val="20"/>
      <w:szCs w:val="20"/>
    </w:rPr>
  </w:style>
  <w:style w:type="character" w:styleId="Hyperlink">
    <w:name w:val="Hyperlink"/>
    <w:basedOn w:val="DefaultParagraphFont"/>
    <w:uiPriority w:val="99"/>
    <w:unhideWhenUsed/>
    <w:rsid w:val="004545F7"/>
    <w:rPr>
      <w:color w:val="0000FF" w:themeColor="hyperlink"/>
      <w:u w:val="single"/>
    </w:rPr>
  </w:style>
  <w:style w:type="paragraph" w:styleId="BalloonText">
    <w:name w:val="Balloon Text"/>
    <w:basedOn w:val="Normal"/>
    <w:link w:val="BalloonTextChar"/>
    <w:uiPriority w:val="99"/>
    <w:semiHidden/>
    <w:unhideWhenUsed/>
    <w:rsid w:val="00997F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41"/>
    <w:rPr>
      <w:rFonts w:ascii="Tahoma" w:hAnsi="Tahoma" w:cs="Tahoma"/>
      <w:sz w:val="16"/>
      <w:szCs w:val="16"/>
    </w:rPr>
  </w:style>
  <w:style w:type="paragraph" w:styleId="ListParagraph">
    <w:name w:val="List Paragraph"/>
    <w:basedOn w:val="Normal"/>
    <w:uiPriority w:val="34"/>
    <w:qFormat/>
    <w:rsid w:val="00997F41"/>
    <w:pPr>
      <w:ind w:left="720"/>
      <w:contextualSpacing/>
    </w:pPr>
  </w:style>
  <w:style w:type="paragraph" w:styleId="Header">
    <w:name w:val="header"/>
    <w:basedOn w:val="Normal"/>
    <w:link w:val="HeaderChar"/>
    <w:uiPriority w:val="99"/>
    <w:unhideWhenUsed/>
    <w:rsid w:val="00A2741D"/>
    <w:pPr>
      <w:tabs>
        <w:tab w:val="center" w:pos="4680"/>
        <w:tab w:val="right" w:pos="9360"/>
      </w:tabs>
      <w:spacing w:line="240" w:lineRule="auto"/>
    </w:pPr>
  </w:style>
  <w:style w:type="character" w:customStyle="1" w:styleId="HeaderChar">
    <w:name w:val="Header Char"/>
    <w:basedOn w:val="DefaultParagraphFont"/>
    <w:link w:val="Header"/>
    <w:uiPriority w:val="99"/>
    <w:rsid w:val="00A2741D"/>
  </w:style>
  <w:style w:type="paragraph" w:styleId="Footer">
    <w:name w:val="footer"/>
    <w:basedOn w:val="Normal"/>
    <w:link w:val="FooterChar"/>
    <w:uiPriority w:val="99"/>
    <w:unhideWhenUsed/>
    <w:rsid w:val="00A2741D"/>
    <w:pPr>
      <w:tabs>
        <w:tab w:val="center" w:pos="4680"/>
        <w:tab w:val="right" w:pos="9360"/>
      </w:tabs>
      <w:spacing w:line="240" w:lineRule="auto"/>
    </w:pPr>
  </w:style>
  <w:style w:type="character" w:customStyle="1" w:styleId="FooterChar">
    <w:name w:val="Footer Char"/>
    <w:basedOn w:val="DefaultParagraphFont"/>
    <w:link w:val="Footer"/>
    <w:uiPriority w:val="99"/>
    <w:rsid w:val="00A27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51983"/>
    <w:pPr>
      <w:shd w:val="clear" w:color="auto" w:fill="FFFFFF"/>
      <w:spacing w:before="150" w:after="150" w:line="330" w:lineRule="atLeast"/>
      <w:jc w:val="both"/>
      <w:outlineLvl w:val="0"/>
    </w:pPr>
    <w:rPr>
      <w:rFonts w:asciiTheme="majorHAnsi" w:hAnsiTheme="majorHAnsi" w:cs="Arial"/>
      <w:b/>
      <w:iCs/>
      <w:color w:val="365F91" w:themeColor="accent1" w:themeShade="BF"/>
      <w:sz w:val="28"/>
      <w:szCs w:val="21"/>
    </w:rPr>
  </w:style>
  <w:style w:type="paragraph" w:styleId="Heading2">
    <w:name w:val="heading 2"/>
    <w:basedOn w:val="Normal"/>
    <w:next w:val="Normal"/>
    <w:link w:val="Heading2Char"/>
    <w:autoRedefine/>
    <w:uiPriority w:val="9"/>
    <w:qFormat/>
    <w:rsid w:val="00751983"/>
    <w:pPr>
      <w:shd w:val="clear" w:color="auto" w:fill="FFFFFF"/>
      <w:spacing w:before="150" w:after="150" w:line="270" w:lineRule="atLeast"/>
      <w:jc w:val="both"/>
      <w:outlineLvl w:val="1"/>
    </w:pPr>
    <w:rPr>
      <w:rFonts w:asciiTheme="majorHAnsi" w:eastAsiaTheme="majorEastAsia" w:hAnsiTheme="majorHAnsi" w:cs="Arial"/>
      <w:b/>
      <w:color w:val="4F81BD" w:themeColor="accent1"/>
      <w:sz w:val="26"/>
      <w:szCs w:val="21"/>
    </w:rPr>
  </w:style>
  <w:style w:type="paragraph" w:styleId="Heading4">
    <w:name w:val="heading 4"/>
    <w:basedOn w:val="Normal"/>
    <w:next w:val="Normal"/>
    <w:link w:val="Heading4Char"/>
    <w:uiPriority w:val="9"/>
    <w:unhideWhenUsed/>
    <w:qFormat/>
    <w:rsid w:val="00F1095B"/>
    <w:pPr>
      <w:keepNext/>
      <w:keepLines/>
      <w:shd w:val="clear" w:color="auto" w:fill="FFFFFF"/>
      <w:spacing w:before="200" w:line="270" w:lineRule="atLeast"/>
      <w:jc w:val="both"/>
      <w:outlineLvl w:val="3"/>
    </w:pPr>
    <w:rPr>
      <w:rFonts w:asciiTheme="majorHAnsi" w:eastAsiaTheme="majorEastAsia" w:hAnsiTheme="majorHAnsi" w:cstheme="majorBidi"/>
      <w:b/>
      <w:bCs/>
      <w:i/>
      <w:iCs/>
      <w:color w:val="4F81BD" w:themeColor="accent1"/>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83"/>
    <w:rPr>
      <w:rFonts w:asciiTheme="majorHAnsi" w:hAnsiTheme="majorHAnsi" w:cs="Arial"/>
      <w:b/>
      <w:iCs/>
      <w:color w:val="365F91" w:themeColor="accent1" w:themeShade="BF"/>
      <w:sz w:val="28"/>
      <w:szCs w:val="21"/>
      <w:shd w:val="clear" w:color="auto" w:fill="FFFFFF"/>
    </w:rPr>
  </w:style>
  <w:style w:type="paragraph" w:styleId="Subtitle">
    <w:name w:val="Subtitle"/>
    <w:basedOn w:val="Normal"/>
    <w:next w:val="Normal"/>
    <w:link w:val="SubtitleChar"/>
    <w:uiPriority w:val="11"/>
    <w:qFormat/>
    <w:rsid w:val="00F1095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095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751983"/>
    <w:rPr>
      <w:rFonts w:asciiTheme="majorHAnsi" w:eastAsiaTheme="majorEastAsia" w:hAnsiTheme="majorHAnsi" w:cs="Arial"/>
      <w:b/>
      <w:color w:val="4F81BD" w:themeColor="accent1"/>
      <w:sz w:val="26"/>
      <w:szCs w:val="21"/>
      <w:shd w:val="clear" w:color="auto" w:fill="FFFFFF"/>
    </w:rPr>
  </w:style>
  <w:style w:type="character" w:customStyle="1" w:styleId="Heading4Char">
    <w:name w:val="Heading 4 Char"/>
    <w:basedOn w:val="DefaultParagraphFont"/>
    <w:link w:val="Heading4"/>
    <w:uiPriority w:val="9"/>
    <w:rsid w:val="00F1095B"/>
    <w:rPr>
      <w:rFonts w:asciiTheme="majorHAnsi" w:eastAsiaTheme="majorEastAsia" w:hAnsiTheme="majorHAnsi" w:cstheme="majorBidi"/>
      <w:b/>
      <w:bCs/>
      <w:i/>
      <w:iCs/>
      <w:color w:val="4F81BD" w:themeColor="accent1"/>
      <w:sz w:val="21"/>
      <w:szCs w:val="21"/>
      <w:shd w:val="clear" w:color="auto" w:fill="FFFFFF"/>
    </w:rPr>
  </w:style>
  <w:style w:type="paragraph" w:customStyle="1" w:styleId="CambriaMath">
    <w:name w:val="Cambria Math"/>
    <w:basedOn w:val="Normal"/>
    <w:link w:val="CambriaMathChar"/>
    <w:qFormat/>
    <w:rsid w:val="00BD464F"/>
    <w:rPr>
      <w:rFonts w:ascii="Cambria Math" w:hAnsi="Cambria Math"/>
    </w:rPr>
  </w:style>
  <w:style w:type="character" w:customStyle="1" w:styleId="CambriaMathChar">
    <w:name w:val="Cambria Math Char"/>
    <w:basedOn w:val="DefaultParagraphFont"/>
    <w:link w:val="CambriaMath"/>
    <w:rsid w:val="00BD464F"/>
    <w:rPr>
      <w:rFonts w:ascii="Cambria Math" w:hAnsi="Cambria Math"/>
    </w:rPr>
  </w:style>
  <w:style w:type="character" w:customStyle="1" w:styleId="CourierCode">
    <w:name w:val="Courier Code"/>
    <w:basedOn w:val="DefaultParagraphFont"/>
    <w:uiPriority w:val="1"/>
    <w:qFormat/>
    <w:rsid w:val="00174135"/>
    <w:rPr>
      <w:rFonts w:ascii="Courier New" w:hAnsi="Courier New" w:cs="Courier New"/>
      <w:sz w:val="20"/>
      <w:szCs w:val="20"/>
    </w:rPr>
  </w:style>
  <w:style w:type="character" w:styleId="Hyperlink">
    <w:name w:val="Hyperlink"/>
    <w:basedOn w:val="DefaultParagraphFont"/>
    <w:uiPriority w:val="99"/>
    <w:unhideWhenUsed/>
    <w:rsid w:val="004545F7"/>
    <w:rPr>
      <w:color w:val="0000FF" w:themeColor="hyperlink"/>
      <w:u w:val="single"/>
    </w:rPr>
  </w:style>
  <w:style w:type="paragraph" w:styleId="BalloonText">
    <w:name w:val="Balloon Text"/>
    <w:basedOn w:val="Normal"/>
    <w:link w:val="BalloonTextChar"/>
    <w:uiPriority w:val="99"/>
    <w:semiHidden/>
    <w:unhideWhenUsed/>
    <w:rsid w:val="00997F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41"/>
    <w:rPr>
      <w:rFonts w:ascii="Tahoma" w:hAnsi="Tahoma" w:cs="Tahoma"/>
      <w:sz w:val="16"/>
      <w:szCs w:val="16"/>
    </w:rPr>
  </w:style>
  <w:style w:type="paragraph" w:styleId="ListParagraph">
    <w:name w:val="List Paragraph"/>
    <w:basedOn w:val="Normal"/>
    <w:uiPriority w:val="34"/>
    <w:qFormat/>
    <w:rsid w:val="00997F41"/>
    <w:pPr>
      <w:ind w:left="720"/>
      <w:contextualSpacing/>
    </w:pPr>
  </w:style>
  <w:style w:type="paragraph" w:styleId="Header">
    <w:name w:val="header"/>
    <w:basedOn w:val="Normal"/>
    <w:link w:val="HeaderChar"/>
    <w:uiPriority w:val="99"/>
    <w:unhideWhenUsed/>
    <w:rsid w:val="00A2741D"/>
    <w:pPr>
      <w:tabs>
        <w:tab w:val="center" w:pos="4680"/>
        <w:tab w:val="right" w:pos="9360"/>
      </w:tabs>
      <w:spacing w:line="240" w:lineRule="auto"/>
    </w:pPr>
  </w:style>
  <w:style w:type="character" w:customStyle="1" w:styleId="HeaderChar">
    <w:name w:val="Header Char"/>
    <w:basedOn w:val="DefaultParagraphFont"/>
    <w:link w:val="Header"/>
    <w:uiPriority w:val="99"/>
    <w:rsid w:val="00A2741D"/>
  </w:style>
  <w:style w:type="paragraph" w:styleId="Footer">
    <w:name w:val="footer"/>
    <w:basedOn w:val="Normal"/>
    <w:link w:val="FooterChar"/>
    <w:uiPriority w:val="99"/>
    <w:unhideWhenUsed/>
    <w:rsid w:val="00A2741D"/>
    <w:pPr>
      <w:tabs>
        <w:tab w:val="center" w:pos="4680"/>
        <w:tab w:val="right" w:pos="9360"/>
      </w:tabs>
      <w:spacing w:line="240" w:lineRule="auto"/>
    </w:pPr>
  </w:style>
  <w:style w:type="character" w:customStyle="1" w:styleId="FooterChar">
    <w:name w:val="Footer Char"/>
    <w:basedOn w:val="DefaultParagraphFont"/>
    <w:link w:val="Footer"/>
    <w:uiPriority w:val="99"/>
    <w:rsid w:val="00A27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434567">
      <w:bodyDiv w:val="1"/>
      <w:marLeft w:val="0"/>
      <w:marRight w:val="0"/>
      <w:marTop w:val="0"/>
      <w:marBottom w:val="0"/>
      <w:divBdr>
        <w:top w:val="none" w:sz="0" w:space="0" w:color="auto"/>
        <w:left w:val="none" w:sz="0" w:space="0" w:color="auto"/>
        <w:bottom w:val="none" w:sz="0" w:space="0" w:color="auto"/>
        <w:right w:val="none" w:sz="0" w:space="0" w:color="auto"/>
      </w:divBdr>
    </w:div>
    <w:div w:id="192375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asdaq.com/symbol/spy/dividend-history" TargetMode="External"/><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finance.yahoo.com/q/hp?s=SPY&amp;a=00&amp;b=1&amp;c=2003&amp;d=11&amp;e=31&amp;f=2012&amp;g=d"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ime-price-research-astrofin.blogspot.com/2012/03/alphas-mid-cap-power-index-strategy.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http://squirrelers.com/2011/01/31/2126/"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w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8</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Hutchison</dc:creator>
  <cp:lastModifiedBy>Dylan Hutchison</cp:lastModifiedBy>
  <cp:revision>9</cp:revision>
  <dcterms:created xsi:type="dcterms:W3CDTF">2013-02-13T17:33:00Z</dcterms:created>
  <dcterms:modified xsi:type="dcterms:W3CDTF">2013-02-14T03:30:00Z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