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Pitch Video Script</w:t>
      </w:r>
    </w:p>
    <w:p>
      <w:pPr>
        <w:jc w:val="center"/>
      </w:pPr>
      <w:r>
        <w:rPr>
          <w:b/>
        </w:rPr>
        <w:t>Chargeback Evidence Responder — Razorpay AI Buildathon, Track: AI Risk Manager</w:t>
      </w:r>
    </w:p>
    <w:p>
      <w:pPr>
        <w:jc w:val="center"/>
      </w:pPr>
      <w:r>
        <w:rPr>
          <w:i/>
        </w:rPr>
        <w:t>Narrator: Dhwani Agarwal  ·  Format: live demo walkthrough, solo  ·  Target runtime: 5:00</w:t>
      </w:r>
    </w:p>
    <w:p/>
    <w:p>
      <w:pPr>
        <w:pStyle w:val="Heading1"/>
      </w:pPr>
      <w:r>
        <w:t>INTRO — 0:00 → 0:25  (~25s)</w:t>
      </w:r>
    </w:p>
    <w:p>
      <w:r>
        <w:rPr>
          <w:i/>
          <w:color w:val="777777"/>
          <w:sz w:val="20"/>
        </w:rPr>
        <w:t>(Face on camera, before switching to screen share)</w:t>
      </w:r>
    </w:p>
    <w:p>
      <w:r>
        <w:rPr>
          <w:sz w:val="24"/>
        </w:rPr>
        <w:t>"Hi, I'm Dhwani Agarwal. I built the Chargeback Evidence Responder for the Razorpay AI Buildathon, on the AI Risk Manager track."</w:t>
      </w:r>
    </w:p>
    <w:p>
      <w:r>
        <w:rPr>
          <w:sz w:val="24"/>
        </w:rPr>
        <w:t>"Fintech risk decisions are what actually pulled me into this track — not the model, the decision. Most “AI risk” demos are a black-box score with a confidence number and nothing else. I wanted to build the opposite: a system that's bounded by an explicit rule, shows every number it used to decide, and is honest about exactly how good it is. That's what I'm going to show you."</w:t>
      </w:r>
    </w:p>
    <w:p/>
    <w:p>
      <w:pPr>
        <w:pStyle w:val="Heading1"/>
      </w:pPr>
      <w:r>
        <w:t>PAGE 1 — Overview  (0:25 → 1:25, ~60s)</w:t>
      </w:r>
    </w:p>
    <w:p>
      <w:r>
        <w:rPr>
          <w:i/>
          <w:color w:val="777777"/>
          <w:sz w:val="20"/>
        </w:rPr>
        <w:t>Sidebar nav item already active on load: “Overview” (top item, marked active). No click needed to arrive here.</w:t>
      </w:r>
    </w:p>
    <w:p>
      <w:r>
        <w:rPr>
          <w:b/>
          <w:color w:val="1A5C99"/>
        </w:rPr>
        <w:t xml:space="preserve">☞ CLICK: </w:t>
      </w:r>
      <w:r>
        <w:rPr>
          <w:color w:val="1A5C99"/>
        </w:rPr>
        <w:t>Point at / hover the “Financial Impact” panel (left column) while you say the three numbers.</w:t>
      </w:r>
    </w:p>
    <w:p>
      <w:r>
        <w:rPr>
          <w:sz w:val="24"/>
        </w:rPr>
        <w:t>"When a chargeback lands, a merchant has one decision to make: fight it, or eat the loss. Fight a case you'll lose, you waste money and staff time. Concede a case you would've won, you leave money on the table. Most merchants do this by gut feel — and both directions bleed money."</w:t>
      </w:r>
    </w:p>
    <w:p>
      <w:r>
        <w:rPr>
          <w:sz w:val="24"/>
        </w:rPr>
        <w:t>"Right here on the Overview — Financial Impact — three strategies, same 100-case test set. Concede everything: 301,000 rupees lost. Represent everything: 280,000. This system: 255,000. It beats both naive baselines."</w:t>
      </w:r>
    </w:p>
    <w:p>
      <w:r>
        <w:rPr>
          <w:b/>
          <w:color w:val="1A5C99"/>
        </w:rPr>
        <w:t xml:space="preserve">☞ CLICK: </w:t>
      </w:r>
      <w:r>
        <w:rPr>
          <w:color w:val="1A5C99"/>
        </w:rPr>
        <w:t>Move to the “How the decision works” panel (right column, numbered steps 01–05) and trace down it with your cursor as you list the five steps.</w:t>
      </w:r>
    </w:p>
    <w:p>
      <w:r>
        <w:rPr>
          <w:sz w:val="24"/>
        </w:rPr>
        <w:t>"And the five-step pipeline on the right: evidence collected, coverage evaluated, win probability calculated, expected value calculated, then represent or concede. Nothing hidden — every step is inspectable. Let's go look at an actual case."</w:t>
      </w:r>
    </w:p>
    <w:p/>
    <w:p>
      <w:pPr>
        <w:pStyle w:val="Heading1"/>
      </w:pPr>
      <w:r>
        <w:t>PAGE 2 — Disputes (table view)  (1:25 → 1:55, ~30s)</w:t>
      </w:r>
    </w:p>
    <w:p>
      <w:r>
        <w:rPr>
          <w:b/>
          <w:color w:val="1A5C99"/>
        </w:rPr>
        <w:t xml:space="preserve">☞ CLICK: </w:t>
      </w:r>
      <w:r>
        <w:rPr>
          <w:color w:val="1A5C99"/>
        </w:rPr>
        <w:t>Sidebar → click “Disputes” (under the “Operations” group label).</w:t>
      </w:r>
    </w:p>
    <w:p>
      <w:r>
        <w:rPr>
          <w:i/>
          <w:color w:val="777777"/>
          <w:sz w:val="20"/>
        </w:rPr>
        <w:t>You land on the dispute queue table: columns Dispute, Reason, Amount, Evidence, Win Prob, Expected Value, Recommendation, Status.</w:t>
      </w:r>
    </w:p>
    <w:p>
      <w:r>
        <w:rPr>
          <w:b/>
          <w:color w:val="1A5C99"/>
        </w:rPr>
        <w:t xml:space="preserve">☞ CLICK: </w:t>
      </w:r>
      <w:r>
        <w:rPr>
          <w:color w:val="1A5C99"/>
        </w:rPr>
        <w:t>Optional: click one of the filter pills (“Represent”) briefly to show filtering works, then click “All” again before moving on.</w:t>
      </w:r>
    </w:p>
    <w:p>
      <w:r>
        <w:rPr>
          <w:sz w:val="24"/>
        </w:rPr>
        <w:t>"This is the dispute queue — every test-set case, pre-scored: reason code, amount, evidence coverage, win probability, expected value, and the recommendation already sitting next to it. I can filter by Represent, Concede, Needs Review. Let's open a strong case first."</w:t>
      </w:r>
    </w:p>
    <w:p/>
    <w:p>
      <w:pPr>
        <w:pStyle w:val="Heading1"/>
      </w:pPr>
      <w:r>
        <w:t>PAGE 2A — Dispute Detail: the Represent case  (1:55 → 3:10, ~75s)</w:t>
      </w:r>
    </w:p>
    <w:p>
      <w:r>
        <w:rPr>
          <w:b/>
          <w:color w:val="1A5C99"/>
        </w:rPr>
        <w:t xml:space="preserve">☞ CLICK: </w:t>
      </w:r>
      <w:r>
        <w:rPr>
          <w:color w:val="1A5C99"/>
        </w:rPr>
        <w:t>Click any row where Evidence coverage is high and Recommendation reads “Represent.” The detail panel opens on the right side of the screen.</w:t>
      </w:r>
    </w:p>
    <w:p>
      <w:r>
        <w:rPr>
          <w:b/>
          <w:color w:val="1A5C99"/>
        </w:rPr>
        <w:t xml:space="preserve">☞ CLICK: </w:t>
      </w:r>
      <w:r>
        <w:rPr>
          <w:color w:val="1A5C99"/>
        </w:rPr>
        <w:t>Point at the top line of the detail panel, labeled with the rule text (rule_applied), as you explain the EV math.</w:t>
      </w:r>
    </w:p>
    <w:p>
      <w:r>
        <w:rPr>
          <w:sz w:val="24"/>
        </w:rPr>
        <w:t>"Here's the decision workspace for one case. Top of the panel: rule_applied — the actual expected-value math, real numbers, no black box. Effective win probability times dispute amount, minus representment cost, checked against the minimum-worth-fighting threshold. You can read exactly why the system decided what it decided."</w:t>
      </w:r>
    </w:p>
    <w:p>
      <w:r>
        <w:rPr>
          <w:b/>
          <w:color w:val="1A5C99"/>
        </w:rPr>
        <w:t xml:space="preserve">☞ CLICK: </w:t>
      </w:r>
      <w:r>
        <w:rPr>
          <w:color w:val="1A5C99"/>
        </w:rPr>
        <w:t>Point at the coverage ring (circular indicator), then scroll to the evidence checklist just below it.</w:t>
      </w:r>
    </w:p>
    <w:p>
      <w:r>
        <w:rPr>
          <w:b/>
          <w:color w:val="1A5C99"/>
        </w:rPr>
        <w:t xml:space="preserve">☞ CLICK: </w:t>
      </w:r>
      <w:r>
        <w:rPr>
          <w:color w:val="1A5C99"/>
        </w:rPr>
        <w:t>Click to expand ONE checked evidence item (shows the grounded sentence), then expand ONE unchecked item (shows the ‘not present’ note) — do this side by side so the contrast is visible on camera.</w:t>
      </w:r>
    </w:p>
    <w:p>
      <w:r>
        <w:rPr>
          <w:sz w:val="24"/>
        </w:rPr>
        <w:t>"This coverage ring is evidence coverage for this reason code. Below it, the evidence checklist, item by item. Where a checkmark is present, there's grounded language behind it — I can expand it and see the actual sentence tied to that field. Where it's not present, it says so plainly: ‘not present in this case's evidence file, so this sentence is NOT included in the letter.’"</w:t>
      </w:r>
    </w:p>
    <w:p>
      <w:r>
        <w:rPr>
          <w:b/>
          <w:color w:val="1A5C99"/>
        </w:rPr>
        <w:t xml:space="preserve">☞ CLICK: </w:t>
      </w:r>
      <w:r>
        <w:rPr>
          <w:color w:val="1A5C99"/>
        </w:rPr>
        <w:t>Scroll down to the letter box (the rendered representment letter) and highlight/select one sentence with your cursor as you say it traces to a field.</w:t>
      </w:r>
    </w:p>
    <w:p>
      <w:r>
        <w:rPr>
          <w:sz w:val="24"/>
        </w:rPr>
        <w:t>"And here's the letter itself, generated from only the checked items. Every sentence traces back to a field on this record. There's no LLM writing free text here — nothing to hallucinate."</w:t>
      </w:r>
    </w:p>
    <w:p/>
    <w:p>
      <w:pPr>
        <w:pStyle w:val="Heading1"/>
      </w:pPr>
      <w:r>
        <w:t>PAGE 2B — Dispute Detail: the Concede case  (3:10 → 3:50, ~40s)</w:t>
      </w:r>
    </w:p>
    <w:p>
      <w:r>
        <w:rPr>
          <w:b/>
          <w:color w:val="1A5C99"/>
        </w:rPr>
        <w:t xml:space="preserve">☞ CLICK: </w:t>
      </w:r>
      <w:r>
        <w:rPr>
          <w:color w:val="1A5C99"/>
        </w:rPr>
        <w:t>Click back to the Disputes table (left panel is still visible — just click a different row), pick a row with LOW evidence coverage and Recommendation “Concede.”</w:t>
      </w:r>
    </w:p>
    <w:p>
      <w:r>
        <w:rPr>
          <w:b/>
          <w:color w:val="1A5C99"/>
        </w:rPr>
        <w:t xml:space="preserve">☞ CLICK: </w:t>
      </w:r>
      <w:r>
        <w:rPr>
          <w:color w:val="1A5C99"/>
        </w:rPr>
        <w:t>Point at the coverage ring again — now visibly lower — then scroll straight to the memo box (same position the letter box was in for the previous case).</w:t>
      </w:r>
    </w:p>
    <w:p>
      <w:r>
        <w:rPr>
          <w:sz w:val="24"/>
        </w:rPr>
        <w:t>"Now a thin-evidence case, same reason code. Coverage's low, so the model's confidence gets discounted, and expected value comes out negative. The decision: concede."</w:t>
      </w:r>
    </w:p>
    <w:p>
      <w:r>
        <w:rPr>
          <w:sz w:val="24"/>
        </w:rPr>
        <w:t>"And this is the part I want to be clear about — instead of a letter, the system writes an internal memo, clearly labeled, explaining why fighting this one doesn't pencil out. This isn't a fallback path. A system that only ever says ‘fight’ isn't managing risk, it's just optimism. This one knows when to say no."</w:t>
      </w:r>
    </w:p>
    <w:p/>
    <w:p>
      <w:pPr>
        <w:pStyle w:val="Heading1"/>
      </w:pPr>
      <w:r>
        <w:t>PAGE 2C — Audit trail  (3:50 → 4:10, ~20s)</w:t>
      </w:r>
    </w:p>
    <w:p>
      <w:r>
        <w:rPr>
          <w:b/>
          <w:color w:val="1A5C99"/>
        </w:rPr>
        <w:t xml:space="preserve">☞ CLICK: </w:t>
      </w:r>
      <w:r>
        <w:rPr>
          <w:color w:val="1A5C99"/>
        </w:rPr>
        <w:t>Scroll to the bottom of the detail panel — click the “View decision audit →” link.</w:t>
      </w:r>
    </w:p>
    <w:p>
      <w:r>
        <w:rPr>
          <w:i/>
          <w:color w:val="777777"/>
          <w:sz w:val="20"/>
        </w:rPr>
        <w:t>This expands the audit replay box in place; no page change.</w:t>
      </w:r>
    </w:p>
    <w:p>
      <w:r>
        <w:rPr>
          <w:sz w:val="24"/>
        </w:rPr>
        <w:t>"Every decision has an audit ID, and it's replayable — click here, and you get back the exact inputs, the rule that fired, the score, all of it. Nothing is a black box after the fact either."</w:t>
      </w:r>
    </w:p>
    <w:p/>
    <w:p>
      <w:pPr>
        <w:pStyle w:val="Heading1"/>
      </w:pPr>
      <w:r>
        <w:t>PAGE 3 — Risk Analytics  (4:10 → 4:50, ~40s)</w:t>
      </w:r>
    </w:p>
    <w:p>
      <w:r>
        <w:rPr>
          <w:b/>
          <w:color w:val="1A5C99"/>
        </w:rPr>
        <w:t xml:space="preserve">☞ CLICK: </w:t>
      </w:r>
      <w:r>
        <w:rPr>
          <w:color w:val="1A5C99"/>
        </w:rPr>
        <w:t>Sidebar → click “Risk Analytics” (under the “Analytics” group label).</w:t>
      </w:r>
    </w:p>
    <w:p>
      <w:r>
        <w:rPr>
          <w:b/>
          <w:color w:val="1A5C99"/>
        </w:rPr>
        <w:t xml:space="preserve">☞ CLICK: </w:t>
      </w:r>
      <w:r>
        <w:rPr>
          <w:color w:val="1A5C99"/>
        </w:rPr>
        <w:t>Point across the four KPI tiles left to right (Precision, Recall, F1, AUC) as you read each number.</w:t>
      </w:r>
    </w:p>
    <w:p>
      <w:r>
        <w:rPr>
          <w:sz w:val="24"/>
        </w:rPr>
        <w:t>"Here's the part that actually matters for this track: precision 0.483, recall 0.368, F1 0.418, AUC 0.62, on a 100-case held-out set. Modest, on purpose — a system this simple, working off noisy merchant records, shouldn't predict issuer arbitration with high accuracy, and it doesn't pretend to."</w:t>
      </w:r>
    </w:p>
    <w:p>
      <w:r>
        <w:rPr>
          <w:b/>
          <w:color w:val="1A5C99"/>
        </w:rPr>
        <w:t xml:space="preserve">☞ CLICK: </w:t>
      </w:r>
      <w:r>
        <w:rPr>
          <w:color w:val="1A5C99"/>
        </w:rPr>
        <w:t>Move to the Confusion Matrix panel (left side of the analytics grid) and point at the FP and FN cells specifically — they have the plain-English explanations.</w:t>
      </w:r>
    </w:p>
    <w:p>
      <w:r>
        <w:rPr>
          <w:sz w:val="24"/>
        </w:rPr>
        <w:t>"The confusion matrix shows exactly where it's wrong — false positives that waste a filing cost, false negatives that leave money on the table. And these labels aren't leaked from the same signal the model uses to decide — they're sampled independently in the data generator, so this number means something."</w:t>
      </w:r>
    </w:p>
    <w:p>
      <w:r>
        <w:rPr>
          <w:b/>
          <w:color w:val="1A5C99"/>
        </w:rPr>
        <w:t xml:space="preserve">☞ CLICK: </w:t>
      </w:r>
      <w:r>
        <w:rPr>
          <w:color w:val="1A5C99"/>
        </w:rPr>
        <w:t>Scroll down to the Precision/Recall vs. probability threshold chart (the image at the bottom of the page) and point at its caption line.</w:t>
      </w:r>
    </w:p>
    <w:p>
      <w:r>
        <w:rPr>
          <w:sz w:val="24"/>
        </w:rPr>
        <w:t>"This curve underneath is diagnostic only — it sweeps a plain probability cutoff, not the actual production rule. The real decision always goes through the EV math you saw a minute ago."</w:t>
      </w:r>
    </w:p>
    <w:p/>
    <w:p>
      <w:pPr>
        <w:pStyle w:val="Heading1"/>
      </w:pPr>
      <w:r>
        <w:t>CLOSE  (4:50 → 5:00, ~10s)</w:t>
      </w:r>
    </w:p>
    <w:p>
      <w:r>
        <w:rPr>
          <w:b/>
          <w:color w:val="1A5C99"/>
        </w:rPr>
        <w:t xml:space="preserve">☞ CLICK: </w:t>
      </w:r>
      <w:r>
        <w:rPr>
          <w:color w:val="1A5C99"/>
        </w:rPr>
        <w:t>Either scroll back up to the top of Risk Analytics, or click “Overview” in the sidebar to end on the same page you opened with.</w:t>
      </w:r>
    </w:p>
    <w:p>
      <w:r>
        <w:rPr>
          <w:sz w:val="24"/>
        </w:rPr>
        <w:t>"Chargeback Evidence Responder — bounded, evidence-grounded, honestly evaluated. Live at the URL on screen, repo's public. Thanks for watching."</w:t>
      </w:r>
    </w:p>
    <w:p/>
    <w:p>
      <w:pPr>
        <w:pStyle w:val="Heading2"/>
      </w:pPr>
      <w:r>
        <w:t>Navigation cheat-sheet (all clicks, in order)</w:t>
      </w:r>
    </w:p>
    <w:p>
      <w:pPr>
        <w:pStyle w:val="ListNumber"/>
      </w:pPr>
      <w:r>
        <w:t>Start on Overview (default active view — no click).</w:t>
      </w:r>
    </w:p>
    <w:p>
      <w:pPr>
        <w:pStyle w:val="ListNumber"/>
      </w:pPr>
      <w:r>
        <w:t>Sidebar → “Disputes.”</w:t>
      </w:r>
    </w:p>
    <w:p>
      <w:pPr>
        <w:pStyle w:val="ListNumber"/>
      </w:pPr>
      <w:r>
        <w:t>(Optional) Click filter pill “Represent,” then click “All” again.</w:t>
      </w:r>
    </w:p>
    <w:p>
      <w:pPr>
        <w:pStyle w:val="ListNumber"/>
      </w:pPr>
      <w:r>
        <w:t>Click a high-coverage / “Represent” row → detail panel opens.</w:t>
      </w:r>
    </w:p>
    <w:p>
      <w:pPr>
        <w:pStyle w:val="ListNumber"/>
      </w:pPr>
      <w:r>
        <w:t>In detail panel: point at rule_applied line → coverage ring → expand one checked evidence item → expand one unchecked item → scroll to letter box.</w:t>
      </w:r>
    </w:p>
    <w:p>
      <w:pPr>
        <w:pStyle w:val="ListNumber"/>
      </w:pPr>
      <w:r>
        <w:t>Click a different, low-coverage / “Concede” row in the table → detail panel updates.</w:t>
      </w:r>
    </w:p>
    <w:p>
      <w:pPr>
        <w:pStyle w:val="ListNumber"/>
      </w:pPr>
      <w:r>
        <w:t>In detail panel: point at coverage ring → scroll to memo box.</w:t>
      </w:r>
    </w:p>
    <w:p>
      <w:pPr>
        <w:pStyle w:val="ListNumber"/>
      </w:pPr>
      <w:r>
        <w:t>Scroll to bottom of detail panel → click “View decision audit →” link.</w:t>
      </w:r>
    </w:p>
    <w:p>
      <w:pPr>
        <w:pStyle w:val="ListNumber"/>
      </w:pPr>
      <w:r>
        <w:t>Sidebar → “Risk Analytics.”</w:t>
      </w:r>
    </w:p>
    <w:p>
      <w:pPr>
        <w:pStyle w:val="ListNumber"/>
      </w:pPr>
      <w:r>
        <w:t>Point across KPI tiles → Confusion Matrix (FP/FN cells) → scroll to PR curve image + caption.</w:t>
      </w:r>
    </w:p>
    <w:p>
      <w:pPr>
        <w:pStyle w:val="ListNumber"/>
      </w:pPr>
      <w:r>
        <w:t>End: Sidebar → “Overview” (or stay on Risk Analytics).</w:t>
      </w:r>
    </w:p>
    <w:p/>
    <w:p>
      <w:pPr>
        <w:pStyle w:val="Heading2"/>
      </w:pPr>
      <w:r>
        <w:t>Timing notes</w:t>
      </w:r>
    </w:p>
    <w:p>
      <w:pPr>
        <w:pStyle w:val="ListBullet"/>
      </w:pPr>
      <w:r>
        <w:t>Full read sums to ~5:00 at a normal pace, including the intro.</w:t>
      </w:r>
    </w:p>
    <w:p>
      <w:pPr>
        <w:pStyle w:val="ListBullet"/>
      </w:pPr>
      <w:r>
        <w:t>If a page load or click stalls on camera, trim first from Page 1 (Overview) or the Concede case section — both compress without losing the point.</w:t>
      </w:r>
    </w:p>
    <w:p>
      <w:pPr>
        <w:pStyle w:val="ListBullet"/>
      </w:pPr>
      <w:r>
        <w:t>If you want more buffer, cut the “expand a grounded evidence item” beat in Page 2A — it's the single most skippable action.</w:t>
      </w:r>
    </w:p>
    <w:p>
      <w:pPr>
        <w:pStyle w:val="ListBullet"/>
      </w:pPr>
      <w:r>
        <w:t>If running short, the Risk Analytics section can absorb another 10–15 seconds by reading one extra confusion-matrix cell aloud.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