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3240"/>
      </w:tblGrid>
      <w:tr w:rsidR="00AA3196" w14:paraId="217D52A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1F4E7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FC76C1B" w14:textId="77777777" w:rsidR="00AA3196" w:rsidRDefault="00000000">
            <w:r>
              <w:rPr>
                <w:b/>
                <w:bCs/>
                <w:color w:val="FFFFFF"/>
                <w:sz w:val="30"/>
                <w:szCs w:val="30"/>
              </w:rPr>
              <w:t xml:space="preserve">Zephyr On-Prem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IaC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>: Business Case</w:t>
            </w:r>
          </w:p>
        </w:tc>
        <w:tc>
          <w:tcPr>
            <w:tcW w:w="3240" w:type="dxa"/>
            <w:shd w:val="clear" w:color="auto" w:fill="1F4E79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708B0CF7" w14:textId="77777777" w:rsidR="00AA3196" w:rsidRDefault="00000000"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Executive </w:t>
            </w:r>
            <w:proofErr w:type="gramStart"/>
            <w:r>
              <w:rPr>
                <w:color w:val="FFFFFF"/>
                <w:sz w:val="18"/>
                <w:szCs w:val="18"/>
              </w:rPr>
              <w:t>Summary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June 24, 2026</w:t>
            </w:r>
          </w:p>
        </w:tc>
      </w:tr>
    </w:tbl>
    <w:p w14:paraId="5FD95C63" w14:textId="77777777" w:rsidR="00AA3196" w:rsidRDefault="00AA3196">
      <w:pPr>
        <w:spacing w:before="140" w:after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AA3196" w14:paraId="39B1DF85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single" w:sz="8" w:space="0" w:color="7B5B0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1BE1" w14:textId="77777777" w:rsidR="00AA3196" w:rsidRDefault="00000000">
            <w:pPr>
              <w:spacing w:after="20"/>
              <w:jc w:val="center"/>
            </w:pPr>
            <w:r>
              <w:rPr>
                <w:b/>
                <w:bCs/>
                <w:color w:val="7B5B00"/>
                <w:sz w:val="15"/>
                <w:szCs w:val="15"/>
              </w:rPr>
              <w:t>INVESTMENT REQUIRED</w:t>
            </w:r>
          </w:p>
          <w:p w14:paraId="6ECC5F60" w14:textId="77777777" w:rsidR="00AA3196" w:rsidRDefault="00000000">
            <w:pPr>
              <w:jc w:val="center"/>
            </w:pPr>
            <w:r>
              <w:rPr>
                <w:b/>
                <w:bCs/>
                <w:color w:val="7B5B00"/>
                <w:sz w:val="32"/>
                <w:szCs w:val="32"/>
              </w:rPr>
              <w:t>$3.0 Million</w:t>
            </w:r>
          </w:p>
        </w:tc>
        <w:tc>
          <w:tcPr>
            <w:tcW w:w="3480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E182" w14:textId="77777777" w:rsidR="00AA3196" w:rsidRDefault="00000000"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>ANNUAL SAVINGS BY 2028</w:t>
            </w:r>
          </w:p>
          <w:p w14:paraId="459F06D4" w14:textId="77777777" w:rsidR="00AA3196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$20.5 Million</w:t>
            </w:r>
          </w:p>
        </w:tc>
        <w:tc>
          <w:tcPr>
            <w:tcW w:w="3480" w:type="dxa"/>
            <w:tcBorders>
              <w:top w:val="single" w:sz="8" w:space="0" w:color="1B5E20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5BB40" w14:textId="77777777" w:rsidR="00AA3196" w:rsidRDefault="00000000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15"/>
                <w:szCs w:val="15"/>
              </w:rPr>
              <w:t>NET BENEFIT</w:t>
            </w:r>
          </w:p>
          <w:p w14:paraId="227D3DA0" w14:textId="77777777" w:rsidR="00AA3196" w:rsidRDefault="00000000">
            <w:pPr>
              <w:jc w:val="center"/>
            </w:pPr>
            <w:r>
              <w:rPr>
                <w:b/>
                <w:bCs/>
                <w:color w:val="1B5E20"/>
                <w:sz w:val="32"/>
                <w:szCs w:val="32"/>
              </w:rPr>
              <w:t>$17.5 Million</w:t>
            </w:r>
          </w:p>
        </w:tc>
      </w:tr>
    </w:tbl>
    <w:p w14:paraId="77D8BFBA" w14:textId="77777777" w:rsidR="00AA3196" w:rsidRDefault="00000000">
      <w:pPr>
        <w:spacing w:before="60" w:after="100"/>
        <w:jc w:val="center"/>
      </w:pPr>
      <w:r>
        <w:rPr>
          <w:color w:val="666666"/>
          <w:sz w:val="17"/>
          <w:szCs w:val="17"/>
        </w:rPr>
        <w:t xml:space="preserve">216,100 human hours/year </w:t>
      </w:r>
      <w:proofErr w:type="gramStart"/>
      <w:r>
        <w:rPr>
          <w:color w:val="666666"/>
          <w:sz w:val="17"/>
          <w:szCs w:val="17"/>
        </w:rPr>
        <w:t>eliminated  •</w:t>
      </w:r>
      <w:proofErr w:type="gramEnd"/>
      <w:r>
        <w:rPr>
          <w:color w:val="666666"/>
          <w:sz w:val="17"/>
          <w:szCs w:val="17"/>
        </w:rPr>
        <w:t xml:space="preserve">  23 platforms in ROI </w:t>
      </w:r>
      <w:proofErr w:type="gramStart"/>
      <w:r>
        <w:rPr>
          <w:color w:val="666666"/>
          <w:sz w:val="17"/>
          <w:szCs w:val="17"/>
        </w:rPr>
        <w:t>scope  •</w:t>
      </w:r>
      <w:proofErr w:type="gramEnd"/>
      <w:r>
        <w:rPr>
          <w:color w:val="666666"/>
          <w:sz w:val="17"/>
          <w:szCs w:val="17"/>
        </w:rPr>
        <w:t xml:space="preserve">  ~6.8x return on investment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0"/>
        <w:gridCol w:w="5340"/>
      </w:tblGrid>
      <w:tr w:rsidR="00AA3196" w14:paraId="3E3C1608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514032F6" w14:textId="77777777" w:rsidR="00AA3196" w:rsidRDefault="00000000">
            <w:pPr>
              <w:pBdr>
                <w:bottom w:val="single" w:sz="4" w:space="1" w:color="2E75B6"/>
              </w:pBd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THE OPPORTUNITY</w:t>
            </w:r>
          </w:p>
          <w:p w14:paraId="26EFF2E4" w14:textId="77777777" w:rsidR="00AA3196" w:rsidRDefault="00000000">
            <w:pPr>
              <w:spacing w:after="60"/>
            </w:pPr>
            <w:r>
              <w:rPr>
                <w:sz w:val="17"/>
                <w:szCs w:val="17"/>
              </w:rPr>
              <w:t xml:space="preserve">The Zephyr On-Prem </w:t>
            </w:r>
            <w:proofErr w:type="spellStart"/>
            <w:r>
              <w:rPr>
                <w:sz w:val="17"/>
                <w:szCs w:val="17"/>
              </w:rPr>
              <w:t>IaC</w:t>
            </w:r>
            <w:proofErr w:type="spellEnd"/>
            <w:r>
              <w:rPr>
                <w:sz w:val="17"/>
                <w:szCs w:val="17"/>
              </w:rPr>
              <w:t xml:space="preserve"> initiative automates 34 manual and semi-automated operational tasks across five efficiency categories: Onboarding, Provisioning, Management, Compliance, and Optimization. Across 23 platforms, this eliminates 216,100 hours of manual effort annually.</w:t>
            </w:r>
          </w:p>
          <w:p w14:paraId="5E45E167" w14:textId="77777777" w:rsidR="00AA3196" w:rsidRDefault="00000000">
            <w:pPr>
              <w:pBdr>
                <w:bottom w:val="single" w:sz="4" w:space="1" w:color="2E75B6"/>
              </w:pBdr>
              <w:spacing w:before="80"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HOW IT WORKS</w:t>
            </w:r>
          </w:p>
          <w:p w14:paraId="39E51EAF" w14:textId="77777777" w:rsidR="00AA3196" w:rsidRDefault="00000000">
            <w:pPr>
              <w:spacing w:after="30" w:line="230" w:lineRule="auto"/>
            </w:pPr>
            <w:r>
              <w:rPr>
                <w:b/>
                <w:bCs/>
                <w:sz w:val="17"/>
                <w:szCs w:val="17"/>
              </w:rPr>
              <w:t xml:space="preserve">Net New Asset Provisioning: </w:t>
            </w:r>
            <w:r>
              <w:rPr>
                <w:sz w:val="17"/>
                <w:szCs w:val="17"/>
              </w:rPr>
              <w:t xml:space="preserve">275 mins/asset × 20 assets/yr × 23 platforms = </w:t>
            </w:r>
            <w:r>
              <w:rPr>
                <w:b/>
                <w:bCs/>
                <w:color w:val="2E75B6"/>
                <w:sz w:val="17"/>
                <w:szCs w:val="17"/>
              </w:rPr>
              <w:t xml:space="preserve">2,100 </w:t>
            </w:r>
            <w:proofErr w:type="spellStart"/>
            <w:r>
              <w:rPr>
                <w:b/>
                <w:bCs/>
                <w:color w:val="2E75B6"/>
                <w:sz w:val="17"/>
                <w:szCs w:val="17"/>
              </w:rPr>
              <w:t>hrs</w:t>
            </w:r>
            <w:proofErr w:type="spellEnd"/>
            <w:r>
              <w:rPr>
                <w:b/>
                <w:bCs/>
                <w:color w:val="2E75B6"/>
                <w:sz w:val="17"/>
                <w:szCs w:val="17"/>
              </w:rPr>
              <w:t>/yr</w:t>
            </w:r>
          </w:p>
          <w:p w14:paraId="25D6F97D" w14:textId="77777777" w:rsidR="00AA3196" w:rsidRDefault="00000000">
            <w:pPr>
              <w:spacing w:after="30" w:line="230" w:lineRule="auto"/>
            </w:pPr>
            <w:r>
              <w:rPr>
                <w:b/>
                <w:bCs/>
                <w:sz w:val="17"/>
                <w:szCs w:val="17"/>
              </w:rPr>
              <w:t xml:space="preserve">Existing Asset Maintenance: </w:t>
            </w:r>
            <w:r>
              <w:rPr>
                <w:sz w:val="17"/>
                <w:szCs w:val="17"/>
              </w:rPr>
              <w:t xml:space="preserve">186 mins/asset/yr × 3K assets × 23 platforms = </w:t>
            </w:r>
            <w:r>
              <w:rPr>
                <w:b/>
                <w:bCs/>
                <w:color w:val="2E75B6"/>
                <w:sz w:val="17"/>
                <w:szCs w:val="17"/>
              </w:rPr>
              <w:t xml:space="preserve">214,000 </w:t>
            </w:r>
            <w:proofErr w:type="spellStart"/>
            <w:r>
              <w:rPr>
                <w:b/>
                <w:bCs/>
                <w:color w:val="2E75B6"/>
                <w:sz w:val="17"/>
                <w:szCs w:val="17"/>
              </w:rPr>
              <w:t>hrs</w:t>
            </w:r>
            <w:proofErr w:type="spellEnd"/>
            <w:r>
              <w:rPr>
                <w:b/>
                <w:bCs/>
                <w:color w:val="2E75B6"/>
                <w:sz w:val="17"/>
                <w:szCs w:val="17"/>
              </w:rPr>
              <w:t>/yr</w:t>
            </w:r>
          </w:p>
          <w:p w14:paraId="432E090D" w14:textId="77777777" w:rsidR="00AA3196" w:rsidRDefault="00000000">
            <w:pPr>
              <w:spacing w:after="30" w:line="230" w:lineRule="auto"/>
            </w:pPr>
            <w:r>
              <w:rPr>
                <w:b/>
                <w:bCs/>
                <w:sz w:val="17"/>
                <w:szCs w:val="17"/>
              </w:rPr>
              <w:t xml:space="preserve">Total Hours Eliminated: </w:t>
            </w:r>
            <w:r>
              <w:rPr>
                <w:sz w:val="17"/>
                <w:szCs w:val="17"/>
              </w:rPr>
              <w:t xml:space="preserve">2,100 + 214,000 = </w:t>
            </w:r>
            <w:r>
              <w:rPr>
                <w:b/>
                <w:bCs/>
                <w:color w:val="1F4E79"/>
                <w:sz w:val="17"/>
                <w:szCs w:val="17"/>
              </w:rPr>
              <w:t xml:space="preserve">216,100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hrs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>/yr</w:t>
            </w:r>
          </w:p>
          <w:p w14:paraId="581E0CFD" w14:textId="77777777" w:rsidR="00AA3196" w:rsidRDefault="00000000">
            <w:pPr>
              <w:spacing w:after="30" w:line="230" w:lineRule="auto"/>
            </w:pPr>
            <w:r>
              <w:rPr>
                <w:b/>
                <w:bCs/>
                <w:sz w:val="17"/>
                <w:szCs w:val="17"/>
              </w:rPr>
              <w:t xml:space="preserve">Financial Impact: </w:t>
            </w:r>
            <w:r>
              <w:rPr>
                <w:sz w:val="17"/>
                <w:szCs w:val="17"/>
              </w:rPr>
              <w:t xml:space="preserve">216.1K </w:t>
            </w:r>
            <w:proofErr w:type="spellStart"/>
            <w:r>
              <w:rPr>
                <w:sz w:val="17"/>
                <w:szCs w:val="17"/>
              </w:rPr>
              <w:t>hrs</w:t>
            </w:r>
            <w:proofErr w:type="spellEnd"/>
            <w:r>
              <w:rPr>
                <w:sz w:val="17"/>
                <w:szCs w:val="17"/>
              </w:rPr>
              <w:t xml:space="preserve"> × $95/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r>
              <w:rPr>
                <w:b/>
                <w:bCs/>
                <w:color w:val="1F4E79"/>
                <w:sz w:val="17"/>
                <w:szCs w:val="17"/>
              </w:rPr>
              <w:t>$20.5MM/yr</w:t>
            </w:r>
          </w:p>
          <w:p w14:paraId="13E53AE0" w14:textId="77777777" w:rsidR="00AA3196" w:rsidRDefault="00000000">
            <w:pPr>
              <w:spacing w:line="230" w:lineRule="auto"/>
            </w:pPr>
            <w:r>
              <w:rPr>
                <w:b/>
                <w:bCs/>
                <w:sz w:val="17"/>
                <w:szCs w:val="17"/>
              </w:rPr>
              <w:t xml:space="preserve">Net Benefit: </w:t>
            </w:r>
            <w:r>
              <w:rPr>
                <w:sz w:val="17"/>
                <w:szCs w:val="17"/>
              </w:rPr>
              <w:t xml:space="preserve">$20.5MM – $3.0MM investment = </w:t>
            </w:r>
            <w:r>
              <w:rPr>
                <w:b/>
                <w:bCs/>
                <w:color w:val="1B5E20"/>
                <w:sz w:val="17"/>
                <w:szCs w:val="17"/>
              </w:rPr>
              <w:t>$17.5MM</w:t>
            </w:r>
          </w:p>
          <w:p w14:paraId="5C106B9B" w14:textId="77777777" w:rsidR="00AA3196" w:rsidRDefault="00000000">
            <w:pPr>
              <w:pBdr>
                <w:bottom w:val="single" w:sz="4" w:space="1" w:color="2E75B6"/>
              </w:pBdr>
              <w:spacing w:before="80"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MIGRATION WORKSTREAM</w:t>
            </w:r>
          </w:p>
          <w:p w14:paraId="7CFCF70A" w14:textId="77777777" w:rsidR="00AA3196" w:rsidRDefault="00000000">
            <w:pPr>
              <w:spacing w:after="40" w:line="230" w:lineRule="auto"/>
            </w:pPr>
            <w:r>
              <w:rPr>
                <w:sz w:val="17"/>
                <w:szCs w:val="17"/>
              </w:rPr>
              <w:t xml:space="preserve">A dedicated migration workstream in EPS partnering with ZOP is required to transition legacy platforms to </w:t>
            </w:r>
            <w:proofErr w:type="spellStart"/>
            <w:r>
              <w:rPr>
                <w:sz w:val="17"/>
                <w:szCs w:val="17"/>
              </w:rPr>
              <w:t>IaC</w:t>
            </w:r>
            <w:proofErr w:type="spellEnd"/>
            <w:r>
              <w:rPr>
                <w:sz w:val="17"/>
                <w:szCs w:val="17"/>
              </w:rPr>
              <w:t xml:space="preserve">. This includes configuration standardization, asset migration into the </w:t>
            </w:r>
            <w:proofErr w:type="spellStart"/>
            <w:r>
              <w:rPr>
                <w:sz w:val="17"/>
                <w:szCs w:val="17"/>
              </w:rPr>
              <w:t>IaC</w:t>
            </w:r>
            <w:proofErr w:type="spellEnd"/>
            <w:r>
              <w:rPr>
                <w:sz w:val="17"/>
                <w:szCs w:val="17"/>
              </w:rPr>
              <w:t xml:space="preserve"> management plane, legacy process retirement, and team training. Without this workstream, the full $17.5MM net benefit cannot be realized.</w:t>
            </w:r>
          </w:p>
        </w:tc>
        <w:tc>
          <w:tcPr>
            <w:tcW w:w="534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0F9E43C1" w14:textId="77777777" w:rsidR="00AA3196" w:rsidRDefault="00000000">
            <w:pPr>
              <w:pBdr>
                <w:bottom w:val="single" w:sz="4" w:space="1" w:color="2E75B6"/>
              </w:pBd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PLATFORM SCOPE (23 OF 34 IN ROI)</w:t>
            </w:r>
          </w:p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900"/>
              <w:gridCol w:w="2540"/>
            </w:tblGrid>
            <w:tr w:rsidR="00AA3196" w14:paraId="74B28E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59A0606" w14:textId="77777777" w:rsidR="00AA3196" w:rsidRDefault="00000000"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Category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40E5F5E3" w14:textId="77777777" w:rsidR="00AA3196" w:rsidRDefault="00000000"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Count</w:t>
                  </w:r>
                </w:p>
              </w:tc>
              <w:tc>
                <w:tcPr>
                  <w:tcW w:w="25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116D9E9" w14:textId="77777777" w:rsidR="00AA3196" w:rsidRDefault="00000000"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Key Services</w:t>
                  </w:r>
                </w:p>
              </w:tc>
            </w:tr>
            <w:tr w:rsidR="00AA3196" w14:paraId="620D9C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010AAEFE" w14:textId="77777777" w:rsidR="00AA3196" w:rsidRDefault="00000000">
                  <w:r>
                    <w:rPr>
                      <w:b/>
                      <w:bCs/>
                      <w:sz w:val="15"/>
                      <w:szCs w:val="15"/>
                    </w:rPr>
                    <w:t>Application Hosting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11E7F99A" w14:textId="77777777" w:rsidR="00AA3196" w:rsidRDefault="00000000">
                  <w:r>
                    <w:rPr>
                      <w:sz w:val="14"/>
                      <w:szCs w:val="14"/>
                    </w:rPr>
                    <w:t>9 platforms</w:t>
                  </w:r>
                </w:p>
              </w:tc>
              <w:tc>
                <w:tcPr>
                  <w:tcW w:w="25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0B5F4CAF" w14:textId="77777777" w:rsidR="00AA3196" w:rsidRDefault="00000000">
                  <w:proofErr w:type="spellStart"/>
                  <w:r>
                    <w:rPr>
                      <w:sz w:val="14"/>
                      <w:szCs w:val="14"/>
                    </w:rPr>
                    <w:t>Websphere</w:t>
                  </w:r>
                  <w:proofErr w:type="spellEnd"/>
                  <w:r>
                    <w:rPr>
                      <w:sz w:val="14"/>
                      <w:szCs w:val="14"/>
                    </w:rPr>
                    <w:t>, JBOSS, PEGA, ISAM, ESM, Message Broker</w:t>
                  </w:r>
                </w:p>
              </w:tc>
            </w:tr>
            <w:tr w:rsidR="00AA3196" w14:paraId="619143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3F33B818" w14:textId="77777777" w:rsidR="00AA3196" w:rsidRDefault="00000000">
                  <w:r>
                    <w:rPr>
                      <w:b/>
                      <w:bCs/>
                      <w:sz w:val="15"/>
                      <w:szCs w:val="15"/>
                    </w:rPr>
                    <w:t>Database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3E2A43F7" w14:textId="77777777" w:rsidR="00AA3196" w:rsidRDefault="00000000">
                  <w:r>
                    <w:rPr>
                      <w:sz w:val="14"/>
                      <w:szCs w:val="14"/>
                    </w:rPr>
                    <w:t>4 platforms</w:t>
                  </w:r>
                </w:p>
              </w:tc>
              <w:tc>
                <w:tcPr>
                  <w:tcW w:w="25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767E2D00" w14:textId="77777777" w:rsidR="00AA3196" w:rsidRDefault="00000000">
                  <w:r>
                    <w:rPr>
                      <w:sz w:val="14"/>
                      <w:szCs w:val="14"/>
                    </w:rPr>
                    <w:t xml:space="preserve">MongoDB, SCCN, SQL Server, </w:t>
                  </w:r>
                  <w:proofErr w:type="spellStart"/>
                  <w:r>
                    <w:rPr>
                      <w:sz w:val="14"/>
                      <w:szCs w:val="14"/>
                    </w:rPr>
                    <w:t>MemSQL</w:t>
                  </w:r>
                  <w:proofErr w:type="spellEnd"/>
                </w:p>
              </w:tc>
            </w:tr>
            <w:tr w:rsidR="00AA3196" w14:paraId="7EFDC2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1CE1D6A1" w14:textId="77777777" w:rsidR="00AA3196" w:rsidRDefault="00000000">
                  <w:r>
                    <w:rPr>
                      <w:b/>
                      <w:bCs/>
                      <w:sz w:val="15"/>
                      <w:szCs w:val="15"/>
                    </w:rPr>
                    <w:t>Networked Storage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1EF38DD8" w14:textId="77777777" w:rsidR="00AA3196" w:rsidRDefault="00000000">
                  <w:r>
                    <w:rPr>
                      <w:sz w:val="14"/>
                      <w:szCs w:val="14"/>
                    </w:rPr>
                    <w:t>4 platforms</w:t>
                  </w:r>
                </w:p>
              </w:tc>
              <w:tc>
                <w:tcPr>
                  <w:tcW w:w="25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00956985" w14:textId="77777777" w:rsidR="00AA3196" w:rsidRDefault="00000000">
                  <w:r>
                    <w:rPr>
                      <w:sz w:val="14"/>
                      <w:szCs w:val="14"/>
                    </w:rPr>
                    <w:t>NAS, File Hosting, Backup &amp; Recovery, SAN</w:t>
                  </w:r>
                </w:p>
              </w:tc>
            </w:tr>
            <w:tr w:rsidR="00AA3196" w14:paraId="3827FA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6827D245" w14:textId="77777777" w:rsidR="00AA3196" w:rsidRDefault="00000000">
                  <w:r>
                    <w:rPr>
                      <w:b/>
                      <w:bCs/>
                      <w:sz w:val="15"/>
                      <w:szCs w:val="15"/>
                    </w:rPr>
                    <w:t>Compute &amp; Containers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ABAA085" w14:textId="77777777" w:rsidR="00AA3196" w:rsidRDefault="00000000">
                  <w:r>
                    <w:rPr>
                      <w:sz w:val="14"/>
                      <w:szCs w:val="14"/>
                    </w:rPr>
                    <w:t>1 platform</w:t>
                  </w:r>
                </w:p>
              </w:tc>
              <w:tc>
                <w:tcPr>
                  <w:tcW w:w="25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44ACE708" w14:textId="77777777" w:rsidR="00AA3196" w:rsidRDefault="00000000">
                  <w:r>
                    <w:rPr>
                      <w:sz w:val="14"/>
                      <w:szCs w:val="14"/>
                    </w:rPr>
                    <w:t>Diamanti</w:t>
                  </w:r>
                </w:p>
              </w:tc>
            </w:tr>
            <w:tr w:rsidR="00AA3196" w14:paraId="212136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70B427EB" w14:textId="77777777" w:rsidR="00AA3196" w:rsidRDefault="00000000">
                  <w:r>
                    <w:rPr>
                      <w:b/>
                      <w:bCs/>
                      <w:sz w:val="15"/>
                      <w:szCs w:val="15"/>
                    </w:rPr>
                    <w:t>Network Services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4A6C5157" w14:textId="77777777" w:rsidR="00AA3196" w:rsidRDefault="00000000">
                  <w:r>
                    <w:rPr>
                      <w:sz w:val="14"/>
                      <w:szCs w:val="14"/>
                    </w:rPr>
                    <w:t>4 platforms</w:t>
                  </w:r>
                </w:p>
              </w:tc>
              <w:tc>
                <w:tcPr>
                  <w:tcW w:w="25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387950E5" w14:textId="77777777" w:rsidR="00AA3196" w:rsidRDefault="00000000">
                  <w:r>
                    <w:rPr>
                      <w:sz w:val="14"/>
                      <w:szCs w:val="14"/>
                    </w:rPr>
                    <w:t>Extranet, DNS, CDN, Datacenter Networking</w:t>
                  </w:r>
                </w:p>
              </w:tc>
            </w:tr>
            <w:tr w:rsidR="00AA3196" w14:paraId="0EA0B8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122D5BBB" w14:textId="77777777" w:rsidR="00AA3196" w:rsidRDefault="00000000">
                  <w:r>
                    <w:rPr>
                      <w:b/>
                      <w:bCs/>
                      <w:sz w:val="15"/>
                      <w:szCs w:val="15"/>
                    </w:rPr>
                    <w:t>Mainframe</w:t>
                  </w:r>
                </w:p>
              </w:tc>
              <w:tc>
                <w:tcPr>
                  <w:tcW w:w="9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7124BF0A" w14:textId="77777777" w:rsidR="00AA3196" w:rsidRDefault="00000000">
                  <w:r>
                    <w:rPr>
                      <w:sz w:val="14"/>
                      <w:szCs w:val="14"/>
                    </w:rPr>
                    <w:t>1 platform</w:t>
                  </w:r>
                </w:p>
              </w:tc>
              <w:tc>
                <w:tcPr>
                  <w:tcW w:w="254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29C1E5FC" w14:textId="77777777" w:rsidR="00AA3196" w:rsidRDefault="00000000">
                  <w:r>
                    <w:rPr>
                      <w:sz w:val="14"/>
                      <w:szCs w:val="14"/>
                    </w:rPr>
                    <w:t>Messaging (z/OS)</w:t>
                  </w:r>
                </w:p>
              </w:tc>
            </w:tr>
          </w:tbl>
          <w:p w14:paraId="46C1E42D" w14:textId="77777777" w:rsidR="00AA3196" w:rsidRDefault="00000000">
            <w:pPr>
              <w:spacing w:before="40"/>
            </w:pPr>
            <w:r>
              <w:rPr>
                <w:i/>
                <w:iCs/>
                <w:color w:val="888888"/>
                <w:sz w:val="15"/>
                <w:szCs w:val="15"/>
              </w:rPr>
              <w:t>Phased rollout: Q1 2026 – Early 2027</w:t>
            </w:r>
          </w:p>
          <w:p w14:paraId="175B6C31" w14:textId="77777777" w:rsidR="00AA3196" w:rsidRDefault="00000000">
            <w:pPr>
              <w:pBdr>
                <w:bottom w:val="single" w:sz="4" w:space="1" w:color="2E75B6"/>
              </w:pBdr>
              <w:spacing w:before="100"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KEY ASSUMPTIONS</w:t>
            </w:r>
          </w:p>
          <w:p w14:paraId="29523F1C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20 net new assets/platform/year (conservative avg)</w:t>
            </w:r>
          </w:p>
          <w:p w14:paraId="534BEE8F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275 mins per net new asset provisioning</w:t>
            </w:r>
          </w:p>
          <w:p w14:paraId="230BD88A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3,000 existing assets per platform</w:t>
            </w:r>
          </w:p>
          <w:p w14:paraId="187EF1E3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186 mins/yr per existing asset maintenance</w:t>
            </w:r>
          </w:p>
          <w:p w14:paraId="59125D71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Avg FTE compensation: $95/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  <w:p w14:paraId="309798EF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Estimates are conservative — DB volume (~20 req/week) and asset counts (SQL Server ~1,500 instances alone) suggest material upside</w:t>
            </w:r>
          </w:p>
          <w:p w14:paraId="42D2DD58" w14:textId="77777777" w:rsidR="00AA3196" w:rsidRDefault="00000000">
            <w:pPr>
              <w:pBdr>
                <w:bottom w:val="single" w:sz="4" w:space="1" w:color="2E75B6"/>
              </w:pBdr>
              <w:spacing w:before="100"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>STRATEGIC BENEFITS</w:t>
            </w:r>
          </w:p>
          <w:p w14:paraId="2E824E9D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Eliminates configuration drift and human error</w:t>
            </w:r>
          </w:p>
          <w:p w14:paraId="580EA81D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Accelerates time-to-deploy for new infrastructure</w:t>
            </w:r>
          </w:p>
          <w:p w14:paraId="45543A86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Version-controlled audit trail for compliance</w:t>
            </w:r>
          </w:p>
          <w:p w14:paraId="4B56064A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20" w:line="220" w:lineRule="auto"/>
            </w:pPr>
            <w:r>
              <w:rPr>
                <w:sz w:val="16"/>
                <w:szCs w:val="16"/>
              </w:rPr>
              <w:t>Scalable to remaining 11 platforms for added ROI</w:t>
            </w:r>
          </w:p>
        </w:tc>
      </w:tr>
    </w:tbl>
    <w:p w14:paraId="2225FFE2" w14:textId="77777777" w:rsidR="00AA3196" w:rsidRDefault="00AA3196">
      <w:pPr>
        <w:spacing w:before="10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AA3196" w14:paraId="054105B2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D645D0" w14:textId="77777777" w:rsidR="00AA3196" w:rsidRDefault="00000000">
            <w:r>
              <w:rPr>
                <w:b/>
                <w:bCs/>
                <w:color w:val="1B5E20"/>
                <w:sz w:val="18"/>
                <w:szCs w:val="18"/>
              </w:rPr>
              <w:t xml:space="preserve">RECOMMENDATION:  </w:t>
            </w:r>
            <w:r>
              <w:rPr>
                <w:color w:val="1B5E20"/>
                <w:sz w:val="17"/>
                <w:szCs w:val="17"/>
              </w:rPr>
              <w:t xml:space="preserve">Approve the $3.0MM investment to proceed with phased </w:t>
            </w:r>
            <w:proofErr w:type="spellStart"/>
            <w:r>
              <w:rPr>
                <w:color w:val="1B5E20"/>
                <w:sz w:val="17"/>
                <w:szCs w:val="17"/>
              </w:rPr>
              <w:t>IaC</w:t>
            </w:r>
            <w:proofErr w:type="spellEnd"/>
            <w:r>
              <w:rPr>
                <w:color w:val="1B5E20"/>
                <w:sz w:val="17"/>
                <w:szCs w:val="17"/>
              </w:rPr>
              <w:t xml:space="preserve"> rollout across 23 platforms (2026–2027). The dedicated EPS + ZOP migration workstream will deliver $17.5MM net benefit — a ~6.8x return — with conservative assumptions suggesting material upside.</w:t>
            </w:r>
          </w:p>
        </w:tc>
      </w:tr>
    </w:tbl>
    <w:p w14:paraId="2A843BEE" w14:textId="77777777" w:rsidR="00AA3196" w:rsidRDefault="00000000">
      <w:r>
        <w:br w:type="page"/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3240"/>
      </w:tblGrid>
      <w:tr w:rsidR="00AA3196" w14:paraId="7CBF6E8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4A148C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DFBF121" w14:textId="77777777" w:rsidR="00AA3196" w:rsidRDefault="00000000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Accelerating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IaC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Delivery with AI-SDLC</w:t>
            </w:r>
          </w:p>
        </w:tc>
        <w:tc>
          <w:tcPr>
            <w:tcW w:w="3240" w:type="dxa"/>
            <w:shd w:val="clear" w:color="auto" w:fill="4A148C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355E4665" w14:textId="77777777" w:rsidR="00AA3196" w:rsidRDefault="00000000">
            <w:pPr>
              <w:jc w:val="right"/>
            </w:pPr>
            <w:r>
              <w:rPr>
                <w:color w:val="FFFFFF"/>
                <w:sz w:val="18"/>
                <w:szCs w:val="18"/>
              </w:rPr>
              <w:t>The Codify Factory</w:t>
            </w:r>
          </w:p>
        </w:tc>
      </w:tr>
    </w:tbl>
    <w:p w14:paraId="56FF0E39" w14:textId="3174AC52" w:rsidR="00AA3196" w:rsidRDefault="00000000">
      <w:pPr>
        <w:spacing w:before="120" w:after="60"/>
      </w:pPr>
      <w:r>
        <w:rPr>
          <w:sz w:val="17"/>
          <w:szCs w:val="17"/>
        </w:rPr>
        <w:t>The $3.0MM investment and $17.5MM net benefit assume traditional engineering delivery. Layering an AI-SDLC “Codify Factory” on top of Zephyr On-Prem can improve unit economics by compressing</w:t>
      </w:r>
      <w:r w:rsidR="00857039">
        <w:rPr>
          <w:sz w:val="17"/>
          <w:szCs w:val="17"/>
        </w:rPr>
        <w:t xml:space="preserve"> legacy platform</w:t>
      </w:r>
      <w:r>
        <w:rPr>
          <w:sz w:val="17"/>
          <w:szCs w:val="17"/>
        </w:rPr>
        <w:t xml:space="preserve"> codification timelines and reducing per-platform engineering effort. Below are realistic estimates for an enterprise environment with regulated change management, multi-team coordination, and legacy platform complexity.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AA3196" w14:paraId="270F6C54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6" w:space="0" w:color="4A148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185F0" w14:textId="77777777" w:rsidR="00AA3196" w:rsidRDefault="00000000">
            <w:pPr>
              <w:spacing w:after="15"/>
              <w:jc w:val="center"/>
            </w:pPr>
            <w:r>
              <w:rPr>
                <w:b/>
                <w:bCs/>
                <w:color w:val="4A148C"/>
                <w:sz w:val="13"/>
                <w:szCs w:val="13"/>
              </w:rPr>
              <w:t>CODIFICATION TIME</w:t>
            </w:r>
          </w:p>
          <w:p w14:paraId="2E0C0AE0" w14:textId="77777777" w:rsidR="00AA3196" w:rsidRDefault="00000000">
            <w:pPr>
              <w:spacing w:after="15"/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40–50% Faster</w:t>
            </w:r>
          </w:p>
          <w:p w14:paraId="1F0A002E" w14:textId="77777777" w:rsidR="00AA3196" w:rsidRDefault="00000000">
            <w:pPr>
              <w:jc w:val="center"/>
            </w:pPr>
            <w:r>
              <w:rPr>
                <w:color w:val="555555"/>
                <w:sz w:val="13"/>
                <w:szCs w:val="13"/>
              </w:rPr>
              <w:t xml:space="preserve">Per-platform </w:t>
            </w:r>
            <w:proofErr w:type="spellStart"/>
            <w:r>
              <w:rPr>
                <w:color w:val="555555"/>
                <w:sz w:val="13"/>
                <w:szCs w:val="13"/>
              </w:rPr>
              <w:t>IaC</w:t>
            </w:r>
            <w:proofErr w:type="spellEnd"/>
            <w:r>
              <w:rPr>
                <w:color w:val="555555"/>
                <w:sz w:val="13"/>
                <w:szCs w:val="13"/>
              </w:rPr>
              <w:t xml:space="preserve"> authoring reduced, though review cycles and change governance remain</w:t>
            </w:r>
          </w:p>
        </w:tc>
        <w:tc>
          <w:tcPr>
            <w:tcW w:w="2610" w:type="dxa"/>
            <w:tcBorders>
              <w:top w:val="single" w:sz="6" w:space="0" w:color="4A148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59F27" w14:textId="77777777" w:rsidR="00AA3196" w:rsidRDefault="00000000">
            <w:pPr>
              <w:spacing w:after="15"/>
              <w:jc w:val="center"/>
            </w:pPr>
            <w:r>
              <w:rPr>
                <w:b/>
                <w:bCs/>
                <w:color w:val="4A148C"/>
                <w:sz w:val="13"/>
                <w:szCs w:val="13"/>
              </w:rPr>
              <w:t>ENGINEERING EFFORT</w:t>
            </w:r>
          </w:p>
          <w:p w14:paraId="1BA78F16" w14:textId="77777777" w:rsidR="00AA3196" w:rsidRPr="006B485F" w:rsidRDefault="00000000">
            <w:pPr>
              <w:spacing w:after="15"/>
              <w:jc w:val="center"/>
              <w:rPr>
                <w:u w:val="single"/>
              </w:rPr>
            </w:pPr>
            <w:r w:rsidRPr="006B485F">
              <w:rPr>
                <w:b/>
                <w:bCs/>
                <w:color w:val="4A148C"/>
                <w:sz w:val="22"/>
                <w:szCs w:val="22"/>
                <w:u w:val="single"/>
              </w:rPr>
              <w:t>30–40% Reduction</w:t>
            </w:r>
          </w:p>
          <w:p w14:paraId="0628F266" w14:textId="77777777" w:rsidR="00AA3196" w:rsidRDefault="00000000">
            <w:pPr>
              <w:jc w:val="center"/>
            </w:pPr>
            <w:r>
              <w:rPr>
                <w:color w:val="555555"/>
                <w:sz w:val="13"/>
                <w:szCs w:val="13"/>
              </w:rPr>
              <w:t xml:space="preserve">AI agents draft </w:t>
            </w:r>
            <w:proofErr w:type="spellStart"/>
            <w:r>
              <w:rPr>
                <w:color w:val="555555"/>
                <w:sz w:val="13"/>
                <w:szCs w:val="13"/>
              </w:rPr>
              <w:t>IaC</w:t>
            </w:r>
            <w:proofErr w:type="spellEnd"/>
            <w:r>
              <w:rPr>
                <w:color w:val="555555"/>
                <w:sz w:val="13"/>
                <w:szCs w:val="13"/>
              </w:rPr>
              <w:t>, API specs, and playbooks; humans review, adjust, and approve</w:t>
            </w:r>
          </w:p>
        </w:tc>
        <w:tc>
          <w:tcPr>
            <w:tcW w:w="2610" w:type="dxa"/>
            <w:tcBorders>
              <w:top w:val="single" w:sz="6" w:space="0" w:color="4A148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7D764" w14:textId="77777777" w:rsidR="00AA3196" w:rsidRDefault="00000000">
            <w:pPr>
              <w:spacing w:after="15"/>
              <w:jc w:val="center"/>
            </w:pPr>
            <w:r>
              <w:rPr>
                <w:b/>
                <w:bCs/>
                <w:color w:val="4A148C"/>
                <w:sz w:val="13"/>
                <w:szCs w:val="13"/>
              </w:rPr>
              <w:t>FULL ROLLOUT TIMELINE</w:t>
            </w:r>
          </w:p>
          <w:p w14:paraId="383F1B34" w14:textId="77777777" w:rsidR="00AA3196" w:rsidRDefault="00000000">
            <w:pPr>
              <w:spacing w:after="15"/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12–18 Months</w:t>
            </w:r>
          </w:p>
          <w:p w14:paraId="680367BD" w14:textId="77777777" w:rsidR="00AA3196" w:rsidRDefault="00000000">
            <w:pPr>
              <w:jc w:val="center"/>
            </w:pPr>
            <w:r>
              <w:rPr>
                <w:color w:val="555555"/>
                <w:sz w:val="13"/>
                <w:szCs w:val="13"/>
              </w:rPr>
              <w:t>Compressed from 18–24 months; approval gates and platform complexity bound the floor</w:t>
            </w:r>
          </w:p>
        </w:tc>
        <w:tc>
          <w:tcPr>
            <w:tcW w:w="2610" w:type="dxa"/>
            <w:tcBorders>
              <w:top w:val="single" w:sz="6" w:space="0" w:color="4A148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FB34C" w14:textId="77777777" w:rsidR="00AA3196" w:rsidRDefault="00000000">
            <w:pPr>
              <w:spacing w:after="15"/>
              <w:jc w:val="center"/>
            </w:pPr>
            <w:r>
              <w:rPr>
                <w:b/>
                <w:bCs/>
                <w:color w:val="4A148C"/>
                <w:sz w:val="13"/>
                <w:szCs w:val="13"/>
              </w:rPr>
              <w:t>QUALITY COMPOUND</w:t>
            </w:r>
          </w:p>
          <w:p w14:paraId="207E4B32" w14:textId="77777777" w:rsidR="00AA3196" w:rsidRDefault="00000000">
            <w:pPr>
              <w:spacing w:after="15"/>
              <w:jc w:val="center"/>
            </w:pPr>
            <w:r>
              <w:rPr>
                <w:b/>
                <w:bCs/>
                <w:color w:val="4A148C"/>
                <w:sz w:val="22"/>
                <w:szCs w:val="22"/>
              </w:rPr>
              <w:t>Incremental Gains</w:t>
            </w:r>
          </w:p>
          <w:p w14:paraId="281775D0" w14:textId="77777777" w:rsidR="00AA3196" w:rsidRDefault="00000000">
            <w:pPr>
              <w:jc w:val="center"/>
            </w:pPr>
            <w:r>
              <w:rPr>
                <w:color w:val="555555"/>
                <w:sz w:val="13"/>
                <w:szCs w:val="13"/>
              </w:rPr>
              <w:t>Factory learns patterns over time; later platforms benefit from earlier codification</w:t>
            </w:r>
          </w:p>
        </w:tc>
      </w:tr>
    </w:tbl>
    <w:p w14:paraId="15BB9C19" w14:textId="77777777" w:rsidR="00AA3196" w:rsidRDefault="00AA3196">
      <w:pPr>
        <w:spacing w:before="8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0"/>
        <w:gridCol w:w="5340"/>
      </w:tblGrid>
      <w:tr w:rsidR="00AA3196" w14:paraId="3C76C5DF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59602CCB" w14:textId="77777777" w:rsidR="00AA3196" w:rsidRDefault="00000000">
            <w:pPr>
              <w:pBdr>
                <w:bottom w:val="single" w:sz="4" w:space="1" w:color="4A148C"/>
              </w:pBdr>
              <w:spacing w:after="50"/>
            </w:pPr>
            <w:r>
              <w:rPr>
                <w:b/>
                <w:bCs/>
                <w:color w:val="4A148C"/>
                <w:sz w:val="17"/>
                <w:szCs w:val="17"/>
              </w:rPr>
              <w:t>THE AI-SDLC “CODIFY FACTORY” PIPELINE</w:t>
            </w:r>
          </w:p>
          <w:p w14:paraId="59A34D0C" w14:textId="77777777" w:rsidR="00AA3196" w:rsidRDefault="00000000">
            <w:pPr>
              <w:spacing w:after="35" w:line="215" w:lineRule="auto"/>
            </w:pPr>
            <w:r>
              <w:rPr>
                <w:b/>
                <w:bCs/>
                <w:color w:val="4A148C"/>
                <w:sz w:val="15"/>
                <w:szCs w:val="15"/>
              </w:rPr>
              <w:t xml:space="preserve">1. Discover &amp; </w:t>
            </w:r>
            <w:proofErr w:type="gramStart"/>
            <w:r>
              <w:rPr>
                <w:b/>
                <w:bCs/>
                <w:color w:val="4A148C"/>
                <w:sz w:val="15"/>
                <w:szCs w:val="15"/>
              </w:rPr>
              <w:t xml:space="preserve">Harvest  </w:t>
            </w:r>
            <w:r>
              <w:rPr>
                <w:sz w:val="14"/>
                <w:szCs w:val="14"/>
              </w:rPr>
              <w:t>AI</w:t>
            </w:r>
            <w:proofErr w:type="gramEnd"/>
            <w:r>
              <w:rPr>
                <w:sz w:val="14"/>
                <w:szCs w:val="14"/>
              </w:rPr>
              <w:t xml:space="preserve"> agents ingest legacy runbooks, SOPs, gold images, vendor best practices, and live config state from existing environments. Output: normalized knowledge base per platform.</w:t>
            </w:r>
          </w:p>
          <w:p w14:paraId="68CFB560" w14:textId="7AABF2D8" w:rsidR="00AA3196" w:rsidRDefault="00000000">
            <w:pPr>
              <w:spacing w:after="35" w:line="215" w:lineRule="auto"/>
            </w:pPr>
            <w:r>
              <w:rPr>
                <w:b/>
                <w:bCs/>
                <w:color w:val="4A148C"/>
                <w:sz w:val="15"/>
                <w:szCs w:val="15"/>
              </w:rPr>
              <w:t xml:space="preserve">2. Author </w:t>
            </w:r>
            <w:proofErr w:type="spellStart"/>
            <w:r>
              <w:rPr>
                <w:b/>
                <w:bCs/>
                <w:color w:val="4A148C"/>
                <w:sz w:val="15"/>
                <w:szCs w:val="15"/>
              </w:rPr>
              <w:t>IaC</w:t>
            </w:r>
            <w:proofErr w:type="spellEnd"/>
            <w:r>
              <w:rPr>
                <w:b/>
                <w:bCs/>
                <w:color w:val="4A148C"/>
                <w:sz w:val="15"/>
                <w:szCs w:val="15"/>
              </w:rPr>
              <w:t xml:space="preserve"> &amp; </w:t>
            </w:r>
            <w:proofErr w:type="gramStart"/>
            <w:r>
              <w:rPr>
                <w:b/>
                <w:bCs/>
                <w:color w:val="4A148C"/>
                <w:sz w:val="15"/>
                <w:szCs w:val="15"/>
              </w:rPr>
              <w:t xml:space="preserve">Playbooks  </w:t>
            </w:r>
            <w:r>
              <w:rPr>
                <w:sz w:val="14"/>
                <w:szCs w:val="14"/>
              </w:rPr>
              <w:t>Agents</w:t>
            </w:r>
            <w:proofErr w:type="gramEnd"/>
            <w:r>
              <w:rPr>
                <w:sz w:val="14"/>
                <w:szCs w:val="14"/>
              </w:rPr>
              <w:t xml:space="preserve"> draft </w:t>
            </w:r>
            <w:proofErr w:type="spellStart"/>
            <w:r>
              <w:rPr>
                <w:sz w:val="14"/>
                <w:szCs w:val="14"/>
              </w:rPr>
              <w:t>IaC</w:t>
            </w:r>
            <w:proofErr w:type="spellEnd"/>
            <w:r>
              <w:rPr>
                <w:sz w:val="14"/>
                <w:szCs w:val="14"/>
              </w:rPr>
              <w:t xml:space="preserve"> modules, Ansible roles, </w:t>
            </w:r>
            <w:proofErr w:type="spellStart"/>
            <w:r>
              <w:rPr>
                <w:sz w:val="14"/>
                <w:szCs w:val="14"/>
              </w:rPr>
              <w:t>Zephyrize</w:t>
            </w:r>
            <w:proofErr w:type="spellEnd"/>
            <w:r>
              <w:rPr>
                <w:sz w:val="14"/>
                <w:szCs w:val="14"/>
              </w:rPr>
              <w:t xml:space="preserve"> platform API specs, and hardening. Agents propose; engineers review and </w:t>
            </w:r>
            <w:r w:rsidR="00857039">
              <w:rPr>
                <w:sz w:val="14"/>
                <w:szCs w:val="14"/>
              </w:rPr>
              <w:t>deploy the code further as per RBC standards.</w:t>
            </w:r>
          </w:p>
          <w:p w14:paraId="036E12EC" w14:textId="77777777" w:rsidR="00AA3196" w:rsidRDefault="00000000">
            <w:pPr>
              <w:spacing w:after="35" w:line="215" w:lineRule="auto"/>
            </w:pPr>
            <w:r>
              <w:rPr>
                <w:b/>
                <w:bCs/>
                <w:color w:val="4A148C"/>
                <w:sz w:val="15"/>
                <w:szCs w:val="15"/>
              </w:rPr>
              <w:t xml:space="preserve">3. Generate </w:t>
            </w:r>
            <w:proofErr w:type="gramStart"/>
            <w:r>
              <w:rPr>
                <w:b/>
                <w:bCs/>
                <w:color w:val="4A148C"/>
                <w:sz w:val="15"/>
                <w:szCs w:val="15"/>
              </w:rPr>
              <w:t xml:space="preserve">Tests  </w:t>
            </w:r>
            <w:r>
              <w:rPr>
                <w:sz w:val="14"/>
                <w:szCs w:val="14"/>
              </w:rPr>
              <w:t>Automated</w:t>
            </w:r>
            <w:proofErr w:type="gramEnd"/>
            <w:r>
              <w:rPr>
                <w:sz w:val="14"/>
                <w:szCs w:val="14"/>
              </w:rPr>
              <w:t xml:space="preserve"> generation of test suites and policy-as-code checks. AI produces both happy-path and edge-case coverage aligned to platform standards.</w:t>
            </w:r>
          </w:p>
          <w:p w14:paraId="30D8A28E" w14:textId="77777777" w:rsidR="00AA3196" w:rsidRDefault="00000000">
            <w:pPr>
              <w:spacing w:after="35" w:line="215" w:lineRule="auto"/>
            </w:pPr>
            <w:r>
              <w:rPr>
                <w:b/>
                <w:bCs/>
                <w:color w:val="4A148C"/>
                <w:sz w:val="15"/>
                <w:szCs w:val="15"/>
              </w:rPr>
              <w:t xml:space="preserve">4. Human Review </w:t>
            </w:r>
            <w:proofErr w:type="gramStart"/>
            <w:r>
              <w:rPr>
                <w:b/>
                <w:bCs/>
                <w:color w:val="4A148C"/>
                <w:sz w:val="15"/>
                <w:szCs w:val="15"/>
              </w:rPr>
              <w:t xml:space="preserve">Gate  </w:t>
            </w:r>
            <w:r>
              <w:rPr>
                <w:sz w:val="14"/>
                <w:szCs w:val="14"/>
              </w:rPr>
              <w:t>Engineers</w:t>
            </w:r>
            <w:proofErr w:type="gramEnd"/>
            <w:r>
              <w:rPr>
                <w:sz w:val="14"/>
                <w:szCs w:val="14"/>
              </w:rPr>
              <w:t xml:space="preserve"> validate all agent-authored artifacts. “AI </w:t>
            </w:r>
            <w:proofErr w:type="gramStart"/>
            <w:r>
              <w:rPr>
                <w:sz w:val="14"/>
                <w:szCs w:val="14"/>
              </w:rPr>
              <w:t>proposes,</w:t>
            </w:r>
            <w:proofErr w:type="gramEnd"/>
            <w:r>
              <w:rPr>
                <w:sz w:val="14"/>
                <w:szCs w:val="14"/>
              </w:rPr>
              <w:t xml:space="preserve"> human decides” — nothing reaches production without human approval and change governance.</w:t>
            </w:r>
          </w:p>
          <w:p w14:paraId="01E0EB9F" w14:textId="77777777" w:rsidR="00AA3196" w:rsidRDefault="00000000">
            <w:pPr>
              <w:spacing w:after="35" w:line="215" w:lineRule="auto"/>
            </w:pPr>
            <w:r>
              <w:rPr>
                <w:b/>
                <w:bCs/>
                <w:color w:val="4A148C"/>
                <w:sz w:val="15"/>
                <w:szCs w:val="15"/>
              </w:rPr>
              <w:t xml:space="preserve">5. Publish to Registry &amp; </w:t>
            </w:r>
            <w:proofErr w:type="gramStart"/>
            <w:r>
              <w:rPr>
                <w:b/>
                <w:bCs/>
                <w:color w:val="4A148C"/>
                <w:sz w:val="15"/>
                <w:szCs w:val="15"/>
              </w:rPr>
              <w:t xml:space="preserve">Catalog  </w:t>
            </w:r>
            <w:r>
              <w:rPr>
                <w:sz w:val="14"/>
                <w:szCs w:val="14"/>
              </w:rPr>
              <w:t>Validated</w:t>
            </w:r>
            <w:proofErr w:type="gramEnd"/>
            <w:r>
              <w:rPr>
                <w:sz w:val="14"/>
                <w:szCs w:val="14"/>
              </w:rPr>
              <w:t xml:space="preserve"> modules published to the </w:t>
            </w:r>
            <w:proofErr w:type="spellStart"/>
            <w:r>
              <w:rPr>
                <w:sz w:val="14"/>
                <w:szCs w:val="14"/>
              </w:rPr>
              <w:t>IaC</w:t>
            </w:r>
            <w:proofErr w:type="spellEnd"/>
            <w:r>
              <w:rPr>
                <w:sz w:val="14"/>
                <w:szCs w:val="14"/>
              </w:rPr>
              <w:t xml:space="preserve"> registry and ServiceNow catalog. Hardened-by-default, self-service-ready offerings.</w:t>
            </w:r>
          </w:p>
          <w:p w14:paraId="2CBBD18F" w14:textId="77777777" w:rsidR="00AA3196" w:rsidRDefault="00000000">
            <w:pPr>
              <w:spacing w:after="35" w:line="215" w:lineRule="auto"/>
            </w:pPr>
            <w:r>
              <w:rPr>
                <w:b/>
                <w:bCs/>
                <w:color w:val="4A148C"/>
                <w:sz w:val="15"/>
                <w:szCs w:val="15"/>
              </w:rPr>
              <w:t xml:space="preserve">6. Operate &amp; </w:t>
            </w:r>
            <w:proofErr w:type="gramStart"/>
            <w:r>
              <w:rPr>
                <w:b/>
                <w:bCs/>
                <w:color w:val="4A148C"/>
                <w:sz w:val="15"/>
                <w:szCs w:val="15"/>
              </w:rPr>
              <w:t xml:space="preserve">Feedback  </w:t>
            </w:r>
            <w:r>
              <w:rPr>
                <w:sz w:val="14"/>
                <w:szCs w:val="14"/>
              </w:rPr>
              <w:t>Drift</w:t>
            </w:r>
            <w:proofErr w:type="gramEnd"/>
            <w:r>
              <w:rPr>
                <w:sz w:val="14"/>
                <w:szCs w:val="14"/>
              </w:rPr>
              <w:t xml:space="preserve"> detection, compliance monitoring, and incident signals feed back into the factory, improving future codification cycles.</w:t>
            </w:r>
          </w:p>
          <w:p w14:paraId="3C632787" w14:textId="77777777" w:rsidR="00AA3196" w:rsidRDefault="00000000">
            <w:pPr>
              <w:pBdr>
                <w:bottom w:val="single" w:sz="4" w:space="1" w:color="B71C1C"/>
              </w:pBdr>
              <w:spacing w:before="50" w:after="50"/>
            </w:pPr>
            <w:r>
              <w:rPr>
                <w:b/>
                <w:bCs/>
                <w:color w:val="B71C1C"/>
                <w:sz w:val="17"/>
                <w:szCs w:val="17"/>
              </w:rPr>
              <w:t>WHAT AI-SDLC CANNOT AUTOMATE</w:t>
            </w:r>
          </w:p>
          <w:p w14:paraId="42F048F3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18" w:line="210" w:lineRule="auto"/>
            </w:pPr>
            <w:r>
              <w:rPr>
                <w:sz w:val="14"/>
                <w:szCs w:val="14"/>
              </w:rPr>
              <w:t>Access approvals and entitlement workflows — require human authorization per RBC security policy and regulatory guidelines</w:t>
            </w:r>
          </w:p>
          <w:p w14:paraId="172B6321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18" w:line="210" w:lineRule="auto"/>
            </w:pPr>
            <w:r>
              <w:rPr>
                <w:sz w:val="14"/>
                <w:szCs w:val="14"/>
              </w:rPr>
              <w:t>Change Advisory Board (CAB) reviews and production change governance — regulatory mandates require human accountability</w:t>
            </w:r>
          </w:p>
          <w:p w14:paraId="76869C16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18" w:line="210" w:lineRule="auto"/>
            </w:pPr>
            <w:r>
              <w:rPr>
                <w:sz w:val="14"/>
                <w:szCs w:val="14"/>
              </w:rPr>
              <w:t>Manual decision-making on architecture, placement, and capacity — context-dependent judgment that agents cannot replace</w:t>
            </w:r>
          </w:p>
          <w:p w14:paraId="251EF38D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18" w:line="210" w:lineRule="auto"/>
            </w:pPr>
            <w:r>
              <w:rPr>
                <w:sz w:val="14"/>
                <w:szCs w:val="14"/>
              </w:rPr>
              <w:t>Vendor-specific platform limitations — legacy APIs, proprietary tooling, and vendor lock-in that constrain automation scope</w:t>
            </w:r>
          </w:p>
          <w:p w14:paraId="2F722FEE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18" w:line="210" w:lineRule="auto"/>
            </w:pPr>
            <w:r>
              <w:rPr>
                <w:sz w:val="14"/>
                <w:szCs w:val="14"/>
              </w:rPr>
              <w:t>Cross-team coordination and stakeholder alignment — organizational dependencies that exist outside the technical pipeline</w:t>
            </w:r>
          </w:p>
          <w:p w14:paraId="4AA590C8" w14:textId="77777777" w:rsidR="00AA3196" w:rsidRDefault="00000000">
            <w:pPr>
              <w:pStyle w:val="ListParagraph"/>
              <w:numPr>
                <w:ilvl w:val="0"/>
                <w:numId w:val="2"/>
              </w:numPr>
              <w:spacing w:after="18" w:line="210" w:lineRule="auto"/>
            </w:pPr>
            <w:r>
              <w:rPr>
                <w:sz w:val="14"/>
                <w:szCs w:val="14"/>
              </w:rPr>
              <w:t>Regulatory interpretation and risk acceptance — compliance decisions requiring human sign-off per enterprise risk and regulatory frameworks</w:t>
            </w:r>
          </w:p>
        </w:tc>
        <w:tc>
          <w:tcPr>
            <w:tcW w:w="5340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4CB021E5" w14:textId="77777777" w:rsidR="00AA3196" w:rsidRDefault="00000000">
            <w:pPr>
              <w:pBdr>
                <w:bottom w:val="single" w:sz="4" w:space="1" w:color="4A148C"/>
              </w:pBdr>
              <w:spacing w:after="50"/>
            </w:pPr>
            <w:r>
              <w:rPr>
                <w:b/>
                <w:bCs/>
                <w:color w:val="4A148C"/>
                <w:sz w:val="17"/>
                <w:szCs w:val="17"/>
              </w:rPr>
              <w:t>UNIT ECONOMICS: MANUAL vs. AI-SDLC</w:t>
            </w:r>
          </w:p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1420"/>
              <w:gridCol w:w="1420"/>
            </w:tblGrid>
            <w:tr w:rsidR="00AA3196" w14:paraId="5C5AD6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A148C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1C1134D8" w14:textId="77777777" w:rsidR="00AA3196" w:rsidRDefault="00000000"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Metric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A148C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5B251676" w14:textId="77777777" w:rsidR="00AA3196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Manual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A148C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</w:tcPr>
                <w:p w14:paraId="38DB9E76" w14:textId="77777777" w:rsidR="00AA3196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5"/>
                      <w:szCs w:val="15"/>
                    </w:rPr>
                    <w:t>AI-SDLC</w:t>
                  </w:r>
                </w:p>
              </w:tc>
            </w:tr>
            <w:tr w:rsidR="00AA3196" w14:paraId="622B6F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23E11154" w14:textId="77777777" w:rsidR="00AA3196" w:rsidRDefault="00000000">
                  <w:r>
                    <w:rPr>
                      <w:sz w:val="15"/>
                      <w:szCs w:val="15"/>
                    </w:rPr>
                    <w:t>Per-platform codification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0C62956A" w14:textId="38BB99B6" w:rsidR="00AA3196" w:rsidRDefault="00857039">
                  <w:pPr>
                    <w:jc w:val="center"/>
                  </w:pPr>
                  <w:r>
                    <w:rPr>
                      <w:sz w:val="15"/>
                      <w:szCs w:val="15"/>
                    </w:rPr>
                    <w:t>1</w:t>
                  </w:r>
                  <w:r w:rsidR="00000000">
                    <w:rPr>
                      <w:sz w:val="15"/>
                      <w:szCs w:val="15"/>
                    </w:rPr>
                    <w:t>4–</w:t>
                  </w:r>
                  <w:r>
                    <w:rPr>
                      <w:sz w:val="15"/>
                      <w:szCs w:val="15"/>
                    </w:rPr>
                    <w:t>1</w:t>
                  </w:r>
                  <w:r w:rsidR="00000000">
                    <w:rPr>
                      <w:sz w:val="15"/>
                      <w:szCs w:val="15"/>
                    </w:rPr>
                    <w:t>6 weeks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3D0ACB71" w14:textId="122CC710" w:rsidR="00AA3196" w:rsidRDefault="00857039">
                  <w:pPr>
                    <w:jc w:val="center"/>
                  </w:pPr>
                  <w:r>
                    <w:rPr>
                      <w:b/>
                      <w:bCs/>
                      <w:color w:val="4A148C"/>
                      <w:sz w:val="15"/>
                      <w:szCs w:val="15"/>
                    </w:rPr>
                    <w:t>6</w:t>
                  </w:r>
                  <w:r w:rsidR="00000000">
                    <w:rPr>
                      <w:b/>
                      <w:bCs/>
                      <w:color w:val="4A148C"/>
                      <w:sz w:val="15"/>
                      <w:szCs w:val="15"/>
                    </w:rPr>
                    <w:t>–</w:t>
                  </w:r>
                  <w:r>
                    <w:rPr>
                      <w:b/>
                      <w:bCs/>
                      <w:color w:val="4A148C"/>
                      <w:sz w:val="15"/>
                      <w:szCs w:val="15"/>
                    </w:rPr>
                    <w:t>8</w:t>
                  </w:r>
                  <w:r w:rsidR="00000000">
                    <w:rPr>
                      <w:b/>
                      <w:bCs/>
                      <w:color w:val="4A148C"/>
                      <w:sz w:val="15"/>
                      <w:szCs w:val="15"/>
                    </w:rPr>
                    <w:t xml:space="preserve"> weeks</w:t>
                  </w:r>
                </w:p>
              </w:tc>
            </w:tr>
            <w:tr w:rsidR="00AA3196" w14:paraId="4EFDC5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377130E3" w14:textId="77777777" w:rsidR="00AA3196" w:rsidRDefault="00000000">
                  <w:r>
                    <w:rPr>
                      <w:sz w:val="15"/>
                      <w:szCs w:val="15"/>
                    </w:rPr>
                    <w:t>Engineer FTEs per platform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0C6D35E1" w14:textId="77777777" w:rsidR="00AA3196" w:rsidRDefault="00000000">
                  <w:pPr>
                    <w:jc w:val="center"/>
                  </w:pPr>
                  <w:r>
                    <w:rPr>
                      <w:sz w:val="15"/>
                      <w:szCs w:val="15"/>
                    </w:rPr>
                    <w:t>2–3 FTEs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4B8C22B" w14:textId="77777777" w:rsidR="00AA3196" w:rsidRDefault="00000000">
                  <w:pPr>
                    <w:jc w:val="center"/>
                  </w:pPr>
                  <w:r>
                    <w:rPr>
                      <w:b/>
                      <w:bCs/>
                      <w:color w:val="4A148C"/>
                      <w:sz w:val="15"/>
                      <w:szCs w:val="15"/>
                    </w:rPr>
                    <w:t>1–2 FTEs</w:t>
                  </w:r>
                </w:p>
              </w:tc>
            </w:tr>
            <w:tr w:rsidR="00AA3196" w14:paraId="4C3B3B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78989105" w14:textId="77777777" w:rsidR="00AA3196" w:rsidRDefault="00000000">
                  <w:r>
                    <w:rPr>
                      <w:sz w:val="15"/>
                      <w:szCs w:val="15"/>
                    </w:rPr>
                    <w:t>Test coverage generation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10005C17" w14:textId="77777777" w:rsidR="00AA3196" w:rsidRDefault="00000000">
                  <w:pPr>
                    <w:jc w:val="center"/>
                  </w:pPr>
                  <w:r>
                    <w:rPr>
                      <w:sz w:val="15"/>
                      <w:szCs w:val="15"/>
                    </w:rPr>
                    <w:t>Manual, partial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78D987CA" w14:textId="77777777" w:rsidR="00AA3196" w:rsidRDefault="00000000">
                  <w:pPr>
                    <w:jc w:val="center"/>
                  </w:pPr>
                  <w:r>
                    <w:rPr>
                      <w:b/>
                      <w:bCs/>
                      <w:color w:val="4A148C"/>
                      <w:sz w:val="15"/>
                      <w:szCs w:val="15"/>
                    </w:rPr>
                    <w:t>AI-assisted, ~60–70%</w:t>
                  </w:r>
                </w:p>
              </w:tc>
            </w:tr>
            <w:tr w:rsidR="00AA3196" w14:paraId="541F5D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1761E0C4" w14:textId="77777777" w:rsidR="00AA3196" w:rsidRDefault="00000000">
                  <w:r>
                    <w:rPr>
                      <w:sz w:val="15"/>
                      <w:szCs w:val="15"/>
                    </w:rPr>
                    <w:t>Hardening validation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20F88198" w14:textId="77777777" w:rsidR="00AA3196" w:rsidRDefault="00000000">
                  <w:pPr>
                    <w:jc w:val="center"/>
                  </w:pPr>
                  <w:r>
                    <w:rPr>
                      <w:sz w:val="15"/>
                      <w:szCs w:val="15"/>
                    </w:rPr>
                    <w:t>Checklist-based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78905525" w14:textId="77777777" w:rsidR="00AA3196" w:rsidRDefault="00000000">
                  <w:pPr>
                    <w:jc w:val="center"/>
                  </w:pPr>
                  <w:r>
                    <w:rPr>
                      <w:b/>
                      <w:bCs/>
                      <w:color w:val="4A148C"/>
                      <w:sz w:val="15"/>
                      <w:szCs w:val="15"/>
                    </w:rPr>
                    <w:t>Policy-as-code</w:t>
                  </w:r>
                </w:p>
              </w:tc>
            </w:tr>
            <w:tr w:rsidR="00AA3196" w14:paraId="2ACAF9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25BC159" w14:textId="77777777" w:rsidR="00AA3196" w:rsidRDefault="00000000">
                  <w:r>
                    <w:rPr>
                      <w:sz w:val="15"/>
                      <w:szCs w:val="15"/>
                    </w:rPr>
                    <w:t>Time to catalog-ready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25155B2F" w14:textId="77777777" w:rsidR="00AA3196" w:rsidRDefault="00000000">
                  <w:pPr>
                    <w:jc w:val="center"/>
                  </w:pPr>
                  <w:r>
                    <w:rPr>
                      <w:sz w:val="15"/>
                      <w:szCs w:val="15"/>
                    </w:rPr>
                    <w:t>6–8 weeks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3F57EA79" w14:textId="77777777" w:rsidR="00AA3196" w:rsidRDefault="00000000">
                  <w:pPr>
                    <w:jc w:val="center"/>
                  </w:pPr>
                  <w:r>
                    <w:rPr>
                      <w:b/>
                      <w:bCs/>
                      <w:color w:val="4A148C"/>
                      <w:sz w:val="15"/>
                      <w:szCs w:val="15"/>
                    </w:rPr>
                    <w:t>3–5 weeks</w:t>
                  </w:r>
                </w:p>
              </w:tc>
            </w:tr>
            <w:tr w:rsidR="00AA3196" w14:paraId="299FAE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47E4B360" w14:textId="77777777" w:rsidR="00AA3196" w:rsidRDefault="00000000">
                  <w:r>
                    <w:rPr>
                      <w:sz w:val="15"/>
                      <w:szCs w:val="15"/>
                    </w:rPr>
                    <w:t>Drift detection setup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2BC255A0" w14:textId="77777777" w:rsidR="00AA3196" w:rsidRDefault="00000000">
                  <w:pPr>
                    <w:jc w:val="center"/>
                  </w:pPr>
                  <w:r>
                    <w:rPr>
                      <w:sz w:val="15"/>
                      <w:szCs w:val="15"/>
                    </w:rPr>
                    <w:t>Custom scripting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595B963E" w14:textId="77777777" w:rsidR="00AA3196" w:rsidRDefault="00000000">
                  <w:pPr>
                    <w:jc w:val="center"/>
                  </w:pPr>
                  <w:r>
                    <w:rPr>
                      <w:b/>
                      <w:bCs/>
                      <w:color w:val="4A148C"/>
                      <w:sz w:val="15"/>
                      <w:szCs w:val="15"/>
                    </w:rPr>
                    <w:t>Agent-assisted config</w:t>
                  </w:r>
                </w:p>
              </w:tc>
            </w:tr>
            <w:tr w:rsidR="00AA3196" w14:paraId="3342BA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6DF366A2" w14:textId="77777777" w:rsidR="00AA3196" w:rsidRDefault="00000000">
                  <w:r>
                    <w:rPr>
                      <w:sz w:val="15"/>
                      <w:szCs w:val="15"/>
                    </w:rPr>
                    <w:t>23-platform full rollout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2DB5494B" w14:textId="77777777" w:rsidR="00AA3196" w:rsidRDefault="00000000">
                  <w:pPr>
                    <w:jc w:val="center"/>
                  </w:pPr>
                  <w:r>
                    <w:rPr>
                      <w:sz w:val="15"/>
                      <w:szCs w:val="15"/>
                    </w:rPr>
                    <w:t>18–24 months</w:t>
                  </w:r>
                </w:p>
              </w:tc>
              <w:tc>
                <w:tcPr>
                  <w:tcW w:w="142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25" w:type="dxa"/>
                    <w:left w:w="60" w:type="dxa"/>
                    <w:bottom w:w="25" w:type="dxa"/>
                    <w:right w:w="60" w:type="dxa"/>
                  </w:tcMar>
                </w:tcPr>
                <w:p w14:paraId="1EC98010" w14:textId="77777777" w:rsidR="00AA3196" w:rsidRDefault="00000000">
                  <w:pPr>
                    <w:jc w:val="center"/>
                  </w:pPr>
                  <w:r>
                    <w:rPr>
                      <w:b/>
                      <w:bCs/>
                      <w:color w:val="4A148C"/>
                      <w:sz w:val="15"/>
                      <w:szCs w:val="15"/>
                    </w:rPr>
                    <w:t>12–18 months</w:t>
                  </w:r>
                </w:p>
              </w:tc>
            </w:tr>
          </w:tbl>
          <w:p w14:paraId="21E7A50B" w14:textId="77777777" w:rsidR="00AA3196" w:rsidRDefault="00000000">
            <w:pPr>
              <w:pBdr>
                <w:bottom w:val="single" w:sz="4" w:space="1" w:color="4A148C"/>
              </w:pBdr>
              <w:spacing w:before="70" w:after="50"/>
            </w:pPr>
            <w:r>
              <w:rPr>
                <w:b/>
                <w:bCs/>
                <w:color w:val="4A148C"/>
                <w:sz w:val="17"/>
                <w:szCs w:val="17"/>
              </w:rPr>
              <w:t>BUSINESS CASE IMPACT</w:t>
            </w:r>
          </w:p>
          <w:p w14:paraId="4EB34C32" w14:textId="77777777" w:rsidR="00AA3196" w:rsidRDefault="00000000">
            <w:pPr>
              <w:spacing w:after="25" w:line="215" w:lineRule="auto"/>
            </w:pPr>
            <w:r>
              <w:rPr>
                <w:b/>
                <w:bCs/>
                <w:sz w:val="15"/>
                <w:szCs w:val="15"/>
              </w:rPr>
              <w:t xml:space="preserve">Faster Time-to-Value: </w:t>
            </w:r>
            <w:r>
              <w:rPr>
                <w:sz w:val="15"/>
                <w:szCs w:val="15"/>
              </w:rPr>
              <w:t xml:space="preserve">Full rollout in 12–18 months vs. 18–24 means savings begin </w:t>
            </w:r>
            <w:r>
              <w:rPr>
                <w:b/>
                <w:bCs/>
                <w:color w:val="4A148C"/>
                <w:sz w:val="15"/>
                <w:szCs w:val="15"/>
              </w:rPr>
              <w:t>6–12 months earlier</w:t>
            </w:r>
            <w:r>
              <w:rPr>
                <w:sz w:val="15"/>
                <w:szCs w:val="15"/>
              </w:rPr>
              <w:t>. Internal process gates (CAB, access, vendor coordination) remain the binding constraint.</w:t>
            </w:r>
          </w:p>
          <w:p w14:paraId="4F7EF2A7" w14:textId="77777777" w:rsidR="00AA3196" w:rsidRPr="006B485F" w:rsidRDefault="00000000">
            <w:pPr>
              <w:spacing w:after="25" w:line="215" w:lineRule="auto"/>
              <w:rPr>
                <w:u w:val="single"/>
              </w:rPr>
            </w:pPr>
            <w:r>
              <w:rPr>
                <w:b/>
                <w:bCs/>
                <w:sz w:val="15"/>
                <w:szCs w:val="15"/>
              </w:rPr>
              <w:t xml:space="preserve">Reduced Delivery Cost: </w:t>
            </w:r>
            <w:r w:rsidRPr="006B485F">
              <w:rPr>
                <w:sz w:val="15"/>
                <w:szCs w:val="15"/>
                <w:u w:val="single"/>
              </w:rPr>
              <w:t>30–40% less engineering effort per platform frees capacity within the $3.0MM investment for additional platforms or deeper hardening coverage.</w:t>
            </w:r>
          </w:p>
          <w:p w14:paraId="542FDE5D" w14:textId="77777777" w:rsidR="00AA3196" w:rsidRDefault="00000000">
            <w:pPr>
              <w:spacing w:after="25" w:line="215" w:lineRule="auto"/>
            </w:pPr>
            <w:r>
              <w:rPr>
                <w:b/>
                <w:bCs/>
                <w:sz w:val="15"/>
                <w:szCs w:val="15"/>
              </w:rPr>
              <w:t xml:space="preserve">Compliance Acceleration: </w:t>
            </w:r>
            <w:r>
              <w:rPr>
                <w:sz w:val="15"/>
                <w:szCs w:val="15"/>
              </w:rPr>
              <w:t>Auto-generated policy tests and audit lineage reduce mean-time-to-evidence for compliance and regulatory audits. Approval authority remains human.</w:t>
            </w:r>
          </w:p>
          <w:p w14:paraId="4B726CA0" w14:textId="77777777" w:rsidR="00AA3196" w:rsidRDefault="00000000">
            <w:pPr>
              <w:spacing w:after="25" w:line="215" w:lineRule="auto"/>
            </w:pPr>
            <w:r>
              <w:rPr>
                <w:b/>
                <w:bCs/>
                <w:sz w:val="15"/>
                <w:szCs w:val="15"/>
              </w:rPr>
              <w:t xml:space="preserve">Scalability Beyond 23: </w:t>
            </w:r>
            <w:r>
              <w:rPr>
                <w:sz w:val="15"/>
                <w:szCs w:val="15"/>
              </w:rPr>
              <w:t>The factory makes onboarding the remaining 11 non-ROI platforms more economically viable, unlocking incremental savings at lower marginal cost.</w:t>
            </w:r>
          </w:p>
          <w:p w14:paraId="7FBE23F7" w14:textId="77777777" w:rsidR="00AA3196" w:rsidRDefault="00000000">
            <w:pPr>
              <w:spacing w:after="20" w:line="215" w:lineRule="auto"/>
            </w:pPr>
            <w:r>
              <w:rPr>
                <w:b/>
                <w:bCs/>
                <w:sz w:val="15"/>
                <w:szCs w:val="15"/>
              </w:rPr>
              <w:t xml:space="preserve">Governance Preserved: </w:t>
            </w:r>
            <w:r>
              <w:rPr>
                <w:sz w:val="15"/>
                <w:szCs w:val="15"/>
              </w:rPr>
              <w:t>AI-SDLC accelerates the technical work; it does not bypass change governance, access controls, or regulatory gates. Human accountability remains at every decision point.</w:t>
            </w:r>
          </w:p>
        </w:tc>
      </w:tr>
    </w:tbl>
    <w:p w14:paraId="3391E1B1" w14:textId="77777777" w:rsidR="00AA3196" w:rsidRDefault="00AA3196">
      <w:pPr>
        <w:spacing w:before="5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AA3196" w14:paraId="5D52C1C3" w14:textId="77777777">
        <w:tblPrEx>
          <w:tblCellMar>
            <w:top w:w="0" w:type="dxa"/>
            <w:bottom w:w="0" w:type="dxa"/>
          </w:tblCellMar>
        </w:tblPrEx>
        <w:tc>
          <w:tcPr>
            <w:tcW w:w="10440" w:type="dxa"/>
            <w:tcBorders>
              <w:top w:val="single" w:sz="6" w:space="0" w:color="4A148C"/>
              <w:left w:val="single" w:sz="6" w:space="0" w:color="4A148C"/>
              <w:bottom w:val="single" w:sz="6" w:space="0" w:color="4A148C"/>
              <w:right w:val="single" w:sz="6" w:space="0" w:color="4A148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8C096E" w14:textId="77777777" w:rsidR="00AA3196" w:rsidRDefault="00000000">
            <w:r>
              <w:rPr>
                <w:b/>
                <w:bCs/>
                <w:color w:val="4A148C"/>
                <w:sz w:val="17"/>
                <w:szCs w:val="17"/>
              </w:rPr>
              <w:t xml:space="preserve">AI-SDLC AS ACCELERATOR, NOT REPLACEMENT:  </w:t>
            </w:r>
            <w:r>
              <w:rPr>
                <w:color w:val="4A148C"/>
                <w:sz w:val="16"/>
                <w:szCs w:val="16"/>
              </w:rPr>
              <w:t xml:space="preserve">The Codify Factory compresses what can be compressed — </w:t>
            </w:r>
            <w:proofErr w:type="spellStart"/>
            <w:r>
              <w:rPr>
                <w:color w:val="4A148C"/>
                <w:sz w:val="16"/>
                <w:szCs w:val="16"/>
              </w:rPr>
              <w:t>IaC</w:t>
            </w:r>
            <w:proofErr w:type="spellEnd"/>
            <w:r>
              <w:rPr>
                <w:color w:val="4A148C"/>
                <w:sz w:val="16"/>
                <w:szCs w:val="16"/>
              </w:rPr>
              <w:t xml:space="preserve"> authoring, test generation, and configuration harvesting — while respecting what cannot: change governance, access approvals, regulatory sign-off, and human decision-making. The result is a 6–</w:t>
            </w:r>
            <w:proofErr w:type="gramStart"/>
            <w:r>
              <w:rPr>
                <w:color w:val="4A148C"/>
                <w:sz w:val="16"/>
                <w:szCs w:val="16"/>
              </w:rPr>
              <w:t>12 month</w:t>
            </w:r>
            <w:proofErr w:type="gramEnd"/>
            <w:r>
              <w:rPr>
                <w:color w:val="4A148C"/>
                <w:sz w:val="16"/>
                <w:szCs w:val="16"/>
              </w:rPr>
              <w:t xml:space="preserve"> acceleration in realizing the $17.5MM net benefit, with full governance and accountability preserved.</w:t>
            </w:r>
          </w:p>
        </w:tc>
      </w:tr>
    </w:tbl>
    <w:p w14:paraId="4AE038F8" w14:textId="77777777" w:rsidR="00036293" w:rsidRDefault="00036293"/>
    <w:sectPr w:rsidR="00036293">
      <w:pgSz w:w="12240" w:h="15840"/>
      <w:pgMar w:top="72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4204A"/>
    <w:multiLevelType w:val="hybridMultilevel"/>
    <w:tmpl w:val="E26A9A3A"/>
    <w:lvl w:ilvl="0" w:tplc="0FE6643A">
      <w:start w:val="1"/>
      <w:numFmt w:val="bullet"/>
      <w:lvlText w:val="●"/>
      <w:lvlJc w:val="left"/>
      <w:pPr>
        <w:ind w:left="720" w:hanging="360"/>
      </w:pPr>
    </w:lvl>
    <w:lvl w:ilvl="1" w:tplc="878C7FF2">
      <w:start w:val="1"/>
      <w:numFmt w:val="bullet"/>
      <w:lvlText w:val="○"/>
      <w:lvlJc w:val="left"/>
      <w:pPr>
        <w:ind w:left="1440" w:hanging="360"/>
      </w:pPr>
    </w:lvl>
    <w:lvl w:ilvl="2" w:tplc="E9FAA9C8">
      <w:start w:val="1"/>
      <w:numFmt w:val="bullet"/>
      <w:lvlText w:val="■"/>
      <w:lvlJc w:val="left"/>
      <w:pPr>
        <w:ind w:left="2160" w:hanging="360"/>
      </w:pPr>
    </w:lvl>
    <w:lvl w:ilvl="3" w:tplc="D576A34A">
      <w:start w:val="1"/>
      <w:numFmt w:val="bullet"/>
      <w:lvlText w:val="●"/>
      <w:lvlJc w:val="left"/>
      <w:pPr>
        <w:ind w:left="2880" w:hanging="360"/>
      </w:pPr>
    </w:lvl>
    <w:lvl w:ilvl="4" w:tplc="B54EE9BC">
      <w:start w:val="1"/>
      <w:numFmt w:val="bullet"/>
      <w:lvlText w:val="○"/>
      <w:lvlJc w:val="left"/>
      <w:pPr>
        <w:ind w:left="3600" w:hanging="360"/>
      </w:pPr>
    </w:lvl>
    <w:lvl w:ilvl="5" w:tplc="73CCB5CE">
      <w:start w:val="1"/>
      <w:numFmt w:val="bullet"/>
      <w:lvlText w:val="■"/>
      <w:lvlJc w:val="left"/>
      <w:pPr>
        <w:ind w:left="4320" w:hanging="360"/>
      </w:pPr>
    </w:lvl>
    <w:lvl w:ilvl="6" w:tplc="141256B2">
      <w:start w:val="1"/>
      <w:numFmt w:val="bullet"/>
      <w:lvlText w:val="●"/>
      <w:lvlJc w:val="left"/>
      <w:pPr>
        <w:ind w:left="5040" w:hanging="360"/>
      </w:pPr>
    </w:lvl>
    <w:lvl w:ilvl="7" w:tplc="7CE606F2">
      <w:start w:val="1"/>
      <w:numFmt w:val="bullet"/>
      <w:lvlText w:val="●"/>
      <w:lvlJc w:val="left"/>
      <w:pPr>
        <w:ind w:left="5760" w:hanging="360"/>
      </w:pPr>
    </w:lvl>
    <w:lvl w:ilvl="8" w:tplc="C1D218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291963"/>
    <w:multiLevelType w:val="hybridMultilevel"/>
    <w:tmpl w:val="523412BA"/>
    <w:lvl w:ilvl="0" w:tplc="A80C5424">
      <w:start w:val="1"/>
      <w:numFmt w:val="bullet"/>
      <w:lvlText w:val="•"/>
      <w:lvlJc w:val="left"/>
      <w:pPr>
        <w:ind w:left="360" w:hanging="200"/>
      </w:pPr>
    </w:lvl>
    <w:lvl w:ilvl="1" w:tplc="40D0BE00">
      <w:numFmt w:val="decimal"/>
      <w:lvlText w:val=""/>
      <w:lvlJc w:val="left"/>
    </w:lvl>
    <w:lvl w:ilvl="2" w:tplc="8DD80458">
      <w:numFmt w:val="decimal"/>
      <w:lvlText w:val=""/>
      <w:lvlJc w:val="left"/>
    </w:lvl>
    <w:lvl w:ilvl="3" w:tplc="03A0753E">
      <w:numFmt w:val="decimal"/>
      <w:lvlText w:val=""/>
      <w:lvlJc w:val="left"/>
    </w:lvl>
    <w:lvl w:ilvl="4" w:tplc="4F000D84">
      <w:numFmt w:val="decimal"/>
      <w:lvlText w:val=""/>
      <w:lvlJc w:val="left"/>
    </w:lvl>
    <w:lvl w:ilvl="5" w:tplc="EF264024">
      <w:numFmt w:val="decimal"/>
      <w:lvlText w:val=""/>
      <w:lvlJc w:val="left"/>
    </w:lvl>
    <w:lvl w:ilvl="6" w:tplc="1BF29830">
      <w:numFmt w:val="decimal"/>
      <w:lvlText w:val=""/>
      <w:lvlJc w:val="left"/>
    </w:lvl>
    <w:lvl w:ilvl="7" w:tplc="DF426F00">
      <w:numFmt w:val="decimal"/>
      <w:lvlText w:val=""/>
      <w:lvlJc w:val="left"/>
    </w:lvl>
    <w:lvl w:ilvl="8" w:tplc="C6A2CFF6">
      <w:numFmt w:val="decimal"/>
      <w:lvlText w:val=""/>
      <w:lvlJc w:val="left"/>
    </w:lvl>
  </w:abstractNum>
  <w:num w:numId="1" w16cid:durableId="1635981123">
    <w:abstractNumId w:val="0"/>
    <w:lvlOverride w:ilvl="0">
      <w:startOverride w:val="1"/>
    </w:lvlOverride>
  </w:num>
  <w:num w:numId="2" w16cid:durableId="15654896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196"/>
    <w:rsid w:val="00036293"/>
    <w:rsid w:val="006B485F"/>
    <w:rsid w:val="00857039"/>
    <w:rsid w:val="00AA3196"/>
    <w:rsid w:val="00F1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28F82"/>
  <w15:docId w15:val="{F17F3510-04BA-EA4B-9928-C946E959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958</Words>
  <Characters>6147</Characters>
  <Application>Microsoft Office Word</Application>
  <DocSecurity>0</DocSecurity>
  <Lines>192</Lines>
  <Paragraphs>134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Dhwanil Raval</cp:lastModifiedBy>
  <cp:revision>3</cp:revision>
  <dcterms:created xsi:type="dcterms:W3CDTF">2026-06-24T23:54:00Z</dcterms:created>
  <dcterms:modified xsi:type="dcterms:W3CDTF">2026-06-25T00:01:00Z</dcterms:modified>
</cp:coreProperties>
</file>