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303B00" w14:paraId="7F54087C" w14:textId="77777777" w:rsidTr="00DD5256">
        <w:tc>
          <w:tcPr>
            <w:tcW w:w="2254" w:type="dxa"/>
            <w:vAlign w:val="center"/>
          </w:tcPr>
          <w:p w14:paraId="0AD8C8FD" w14:textId="7982D397" w:rsidR="00303B00" w:rsidRPr="00303B00" w:rsidRDefault="00303B00" w:rsidP="00303B00">
            <w:pPr>
              <w:rPr>
                <w:rFonts w:ascii="Cambria" w:hAnsi="Cambria"/>
                <w:sz w:val="24"/>
                <w:szCs w:val="24"/>
              </w:rPr>
            </w:pPr>
            <w:r w:rsidRPr="00303B00">
              <w:rPr>
                <w:rFonts w:ascii="Cambria" w:hAnsi="Cambria"/>
                <w:caps/>
                <w:color w:val="000000"/>
                <w:sz w:val="24"/>
                <w:szCs w:val="24"/>
              </w:rPr>
              <w:t>Company Ticker</w:t>
            </w:r>
          </w:p>
        </w:tc>
        <w:tc>
          <w:tcPr>
            <w:tcW w:w="2254" w:type="dxa"/>
            <w:vAlign w:val="center"/>
          </w:tcPr>
          <w:p w14:paraId="39A34EFA" w14:textId="2AFC3F11" w:rsidR="00303B00" w:rsidRPr="00303B00" w:rsidRDefault="00303B00" w:rsidP="00303B00">
            <w:pPr>
              <w:rPr>
                <w:rFonts w:ascii="Cambria" w:hAnsi="Cambria"/>
                <w:sz w:val="24"/>
                <w:szCs w:val="24"/>
              </w:rPr>
            </w:pPr>
            <w:r w:rsidRPr="00303B00">
              <w:rPr>
                <w:rFonts w:ascii="Cambria" w:hAnsi="Cambria"/>
                <w:caps/>
                <w:color w:val="000000"/>
                <w:sz w:val="24"/>
                <w:szCs w:val="24"/>
              </w:rPr>
              <w:t>General History</w:t>
            </w:r>
          </w:p>
        </w:tc>
        <w:tc>
          <w:tcPr>
            <w:tcW w:w="2254" w:type="dxa"/>
            <w:vAlign w:val="center"/>
          </w:tcPr>
          <w:p w14:paraId="4919A815" w14:textId="2A0C48B7" w:rsidR="00303B00" w:rsidRPr="00303B00" w:rsidRDefault="00303B00" w:rsidP="00303B00">
            <w:pPr>
              <w:rPr>
                <w:rFonts w:ascii="Cambria" w:hAnsi="Cambria"/>
                <w:sz w:val="24"/>
                <w:szCs w:val="24"/>
              </w:rPr>
            </w:pPr>
            <w:r w:rsidRPr="00303B00">
              <w:rPr>
                <w:rFonts w:ascii="Cambria" w:hAnsi="Cambria"/>
                <w:caps/>
                <w:color w:val="000000"/>
                <w:sz w:val="24"/>
                <w:szCs w:val="24"/>
              </w:rPr>
              <w:t>Recent History</w:t>
            </w:r>
          </w:p>
        </w:tc>
        <w:tc>
          <w:tcPr>
            <w:tcW w:w="2254" w:type="dxa"/>
            <w:vAlign w:val="center"/>
          </w:tcPr>
          <w:p w14:paraId="7852109B" w14:textId="344E70A5" w:rsidR="00303B00" w:rsidRPr="00303B00" w:rsidRDefault="00303B00" w:rsidP="00303B00">
            <w:pPr>
              <w:rPr>
                <w:rFonts w:ascii="Cambria" w:hAnsi="Cambria"/>
                <w:sz w:val="24"/>
                <w:szCs w:val="24"/>
              </w:rPr>
            </w:pPr>
            <w:r w:rsidRPr="00303B00">
              <w:rPr>
                <w:rFonts w:ascii="Cambria" w:hAnsi="Cambria"/>
                <w:caps/>
                <w:color w:val="000000"/>
                <w:sz w:val="24"/>
                <w:szCs w:val="24"/>
              </w:rPr>
              <w:t>Size &amp; Prospects</w:t>
            </w:r>
          </w:p>
        </w:tc>
      </w:tr>
      <w:tr w:rsidR="00303B00" w14:paraId="19F4540A" w14:textId="77777777" w:rsidTr="00AF59B3">
        <w:tc>
          <w:tcPr>
            <w:tcW w:w="2254" w:type="dxa"/>
            <w:vAlign w:val="bottom"/>
          </w:tcPr>
          <w:p w14:paraId="3A5078C0" w14:textId="39DDD655" w:rsidR="00303B00" w:rsidRPr="00303B00" w:rsidRDefault="00303B00" w:rsidP="00303B00">
            <w:pPr>
              <w:rPr>
                <w:rFonts w:ascii="Cambria" w:hAnsi="Cambria"/>
                <w:caps/>
                <w:color w:val="000000"/>
                <w:sz w:val="24"/>
                <w:szCs w:val="24"/>
              </w:rPr>
            </w:pPr>
            <w:r w:rsidRPr="00303B00">
              <w:rPr>
                <w:rFonts w:ascii="Cambria" w:hAnsi="Cambria"/>
                <w:color w:val="000000"/>
                <w:sz w:val="24"/>
                <w:szCs w:val="24"/>
              </w:rPr>
              <w:t>HSBA.L</w:t>
            </w:r>
          </w:p>
        </w:tc>
        <w:tc>
          <w:tcPr>
            <w:tcW w:w="2254" w:type="dxa"/>
            <w:vAlign w:val="center"/>
          </w:tcPr>
          <w:p w14:paraId="3C3529BA" w14:textId="5A77887E" w:rsidR="00303B00" w:rsidRPr="00303B00" w:rsidRDefault="00303B00" w:rsidP="00303B00">
            <w:pPr>
              <w:rPr>
                <w:rFonts w:ascii="Cambria" w:hAnsi="Cambria"/>
                <w:caps/>
                <w:color w:val="000000"/>
                <w:sz w:val="24"/>
                <w:szCs w:val="24"/>
              </w:rPr>
            </w:pPr>
          </w:p>
        </w:tc>
        <w:tc>
          <w:tcPr>
            <w:tcW w:w="2254" w:type="dxa"/>
            <w:vAlign w:val="center"/>
          </w:tcPr>
          <w:p w14:paraId="5E8EA573" w14:textId="77777777" w:rsidR="00303B00" w:rsidRPr="00303B00" w:rsidRDefault="00303B00" w:rsidP="00303B00">
            <w:pPr>
              <w:rPr>
                <w:rFonts w:ascii="Cambria" w:hAnsi="Cambria"/>
                <w:caps/>
                <w:color w:val="000000"/>
                <w:sz w:val="24"/>
                <w:szCs w:val="24"/>
              </w:rPr>
            </w:pPr>
          </w:p>
        </w:tc>
        <w:tc>
          <w:tcPr>
            <w:tcW w:w="2254" w:type="dxa"/>
            <w:vAlign w:val="center"/>
          </w:tcPr>
          <w:p w14:paraId="216E27A9" w14:textId="77777777" w:rsidR="00303B00" w:rsidRPr="00303B00" w:rsidRDefault="00303B00" w:rsidP="00303B00">
            <w:pPr>
              <w:rPr>
                <w:rFonts w:ascii="Cambria" w:hAnsi="Cambria"/>
                <w:caps/>
                <w:color w:val="000000"/>
                <w:sz w:val="24"/>
                <w:szCs w:val="24"/>
              </w:rPr>
            </w:pPr>
          </w:p>
        </w:tc>
      </w:tr>
      <w:tr w:rsidR="00303B00" w14:paraId="09FE1526" w14:textId="77777777" w:rsidTr="00AF59B3">
        <w:tc>
          <w:tcPr>
            <w:tcW w:w="2254" w:type="dxa"/>
            <w:vAlign w:val="bottom"/>
          </w:tcPr>
          <w:p w14:paraId="5DEC2D8B" w14:textId="0E74547F" w:rsidR="00303B00" w:rsidRPr="00303B00" w:rsidRDefault="00303B00" w:rsidP="00303B00">
            <w:pPr>
              <w:rPr>
                <w:rFonts w:ascii="Cambria" w:hAnsi="Cambria"/>
                <w:caps/>
                <w:color w:val="000000"/>
                <w:sz w:val="24"/>
                <w:szCs w:val="24"/>
              </w:rPr>
            </w:pPr>
            <w:r w:rsidRPr="00303B00">
              <w:rPr>
                <w:rFonts w:ascii="Cambria" w:hAnsi="Cambria"/>
                <w:color w:val="000000"/>
                <w:sz w:val="24"/>
                <w:szCs w:val="24"/>
              </w:rPr>
              <w:t>BARC.L</w:t>
            </w:r>
          </w:p>
        </w:tc>
        <w:tc>
          <w:tcPr>
            <w:tcW w:w="2254" w:type="dxa"/>
            <w:vAlign w:val="center"/>
          </w:tcPr>
          <w:p w14:paraId="489C0922" w14:textId="77777777" w:rsidR="00303B00" w:rsidRPr="00303B00" w:rsidRDefault="00303B00" w:rsidP="00303B00">
            <w:pPr>
              <w:rPr>
                <w:rFonts w:ascii="Cambria" w:hAnsi="Cambria"/>
                <w:caps/>
                <w:color w:val="000000"/>
                <w:sz w:val="24"/>
                <w:szCs w:val="24"/>
              </w:rPr>
            </w:pPr>
          </w:p>
        </w:tc>
        <w:tc>
          <w:tcPr>
            <w:tcW w:w="2254" w:type="dxa"/>
            <w:vAlign w:val="center"/>
          </w:tcPr>
          <w:p w14:paraId="25173CD0" w14:textId="77777777" w:rsidR="00303B00" w:rsidRPr="00303B00" w:rsidRDefault="00303B00" w:rsidP="00303B00">
            <w:pPr>
              <w:rPr>
                <w:rFonts w:ascii="Cambria" w:hAnsi="Cambria"/>
                <w:caps/>
                <w:color w:val="000000"/>
                <w:sz w:val="24"/>
                <w:szCs w:val="24"/>
              </w:rPr>
            </w:pPr>
          </w:p>
        </w:tc>
        <w:tc>
          <w:tcPr>
            <w:tcW w:w="2254" w:type="dxa"/>
            <w:vAlign w:val="center"/>
          </w:tcPr>
          <w:p w14:paraId="0784BAC7" w14:textId="77777777" w:rsidR="00303B00" w:rsidRPr="00303B00" w:rsidRDefault="00303B00" w:rsidP="00303B00">
            <w:pPr>
              <w:rPr>
                <w:rFonts w:ascii="Cambria" w:hAnsi="Cambria"/>
                <w:caps/>
                <w:color w:val="000000"/>
                <w:sz w:val="24"/>
                <w:szCs w:val="24"/>
              </w:rPr>
            </w:pPr>
          </w:p>
        </w:tc>
      </w:tr>
      <w:tr w:rsidR="00303B00" w14:paraId="048DCA6D" w14:textId="77777777" w:rsidTr="00AF59B3">
        <w:tc>
          <w:tcPr>
            <w:tcW w:w="2254" w:type="dxa"/>
            <w:vAlign w:val="bottom"/>
          </w:tcPr>
          <w:p w14:paraId="0472A4E1" w14:textId="1FDA48E8" w:rsidR="00303B00" w:rsidRPr="00303B00" w:rsidRDefault="00303B00" w:rsidP="00303B00">
            <w:pPr>
              <w:rPr>
                <w:rFonts w:ascii="Cambria" w:hAnsi="Cambria"/>
                <w:color w:val="000000"/>
                <w:sz w:val="24"/>
                <w:szCs w:val="24"/>
              </w:rPr>
            </w:pPr>
            <w:r w:rsidRPr="00303B00">
              <w:rPr>
                <w:rFonts w:ascii="Cambria" w:hAnsi="Cambria"/>
                <w:color w:val="000000"/>
                <w:sz w:val="24"/>
                <w:szCs w:val="24"/>
              </w:rPr>
              <w:t>LLOY.L</w:t>
            </w:r>
          </w:p>
        </w:tc>
        <w:tc>
          <w:tcPr>
            <w:tcW w:w="2254" w:type="dxa"/>
            <w:vAlign w:val="center"/>
          </w:tcPr>
          <w:p w14:paraId="3D2C0330" w14:textId="77777777" w:rsidR="00303B00" w:rsidRPr="00303B00" w:rsidRDefault="00303B00" w:rsidP="00303B00">
            <w:pPr>
              <w:rPr>
                <w:rFonts w:ascii="Cambria" w:hAnsi="Cambria"/>
                <w:caps/>
                <w:color w:val="000000"/>
                <w:sz w:val="24"/>
                <w:szCs w:val="24"/>
              </w:rPr>
            </w:pPr>
          </w:p>
        </w:tc>
        <w:tc>
          <w:tcPr>
            <w:tcW w:w="2254" w:type="dxa"/>
            <w:vAlign w:val="center"/>
          </w:tcPr>
          <w:p w14:paraId="5C830BCC" w14:textId="77777777" w:rsidR="00303B00" w:rsidRPr="00303B00" w:rsidRDefault="00303B00" w:rsidP="00303B00">
            <w:pPr>
              <w:rPr>
                <w:rFonts w:ascii="Cambria" w:hAnsi="Cambria"/>
                <w:caps/>
                <w:color w:val="000000"/>
                <w:sz w:val="24"/>
                <w:szCs w:val="24"/>
              </w:rPr>
            </w:pPr>
          </w:p>
        </w:tc>
        <w:tc>
          <w:tcPr>
            <w:tcW w:w="2254" w:type="dxa"/>
            <w:vAlign w:val="center"/>
          </w:tcPr>
          <w:p w14:paraId="2A687644" w14:textId="77777777" w:rsidR="00303B00" w:rsidRPr="00303B00" w:rsidRDefault="00303B00" w:rsidP="00303B00">
            <w:pPr>
              <w:rPr>
                <w:rFonts w:ascii="Cambria" w:hAnsi="Cambria"/>
                <w:caps/>
                <w:color w:val="000000"/>
                <w:sz w:val="24"/>
                <w:szCs w:val="24"/>
              </w:rPr>
            </w:pPr>
          </w:p>
        </w:tc>
      </w:tr>
      <w:tr w:rsidR="00303B00" w14:paraId="21D3BB53" w14:textId="77777777" w:rsidTr="00AF59B3">
        <w:tc>
          <w:tcPr>
            <w:tcW w:w="2254" w:type="dxa"/>
            <w:vAlign w:val="bottom"/>
          </w:tcPr>
          <w:p w14:paraId="7467414C" w14:textId="142BABAC" w:rsidR="00303B00" w:rsidRPr="00303B00" w:rsidRDefault="00303B00" w:rsidP="00303B00">
            <w:pPr>
              <w:rPr>
                <w:rFonts w:ascii="Cambria" w:hAnsi="Cambria"/>
                <w:color w:val="000000"/>
                <w:sz w:val="24"/>
                <w:szCs w:val="24"/>
              </w:rPr>
            </w:pPr>
            <w:r w:rsidRPr="00303B00">
              <w:rPr>
                <w:rFonts w:ascii="Cambria" w:hAnsi="Cambria"/>
                <w:color w:val="000000"/>
                <w:sz w:val="24"/>
                <w:szCs w:val="24"/>
              </w:rPr>
              <w:t>STAN.L</w:t>
            </w:r>
          </w:p>
        </w:tc>
        <w:tc>
          <w:tcPr>
            <w:tcW w:w="2254" w:type="dxa"/>
            <w:vAlign w:val="center"/>
          </w:tcPr>
          <w:p w14:paraId="3840EFBB" w14:textId="77777777" w:rsidR="00303B00" w:rsidRPr="00303B00" w:rsidRDefault="00303B00" w:rsidP="00303B00">
            <w:pPr>
              <w:rPr>
                <w:rFonts w:ascii="Cambria" w:hAnsi="Cambria"/>
                <w:caps/>
                <w:color w:val="000000"/>
                <w:sz w:val="24"/>
                <w:szCs w:val="24"/>
              </w:rPr>
            </w:pPr>
          </w:p>
        </w:tc>
        <w:tc>
          <w:tcPr>
            <w:tcW w:w="2254" w:type="dxa"/>
            <w:vAlign w:val="center"/>
          </w:tcPr>
          <w:p w14:paraId="2E399ACC" w14:textId="77777777" w:rsidR="00303B00" w:rsidRPr="00303B00" w:rsidRDefault="00303B00" w:rsidP="00303B00">
            <w:pPr>
              <w:rPr>
                <w:rFonts w:ascii="Cambria" w:hAnsi="Cambria"/>
                <w:caps/>
                <w:color w:val="000000"/>
                <w:sz w:val="24"/>
                <w:szCs w:val="24"/>
              </w:rPr>
            </w:pPr>
          </w:p>
        </w:tc>
        <w:tc>
          <w:tcPr>
            <w:tcW w:w="2254" w:type="dxa"/>
            <w:vAlign w:val="center"/>
          </w:tcPr>
          <w:p w14:paraId="72F450FC" w14:textId="77777777" w:rsidR="00303B00" w:rsidRPr="00303B00" w:rsidRDefault="00303B00" w:rsidP="00303B00">
            <w:pPr>
              <w:rPr>
                <w:rFonts w:ascii="Cambria" w:hAnsi="Cambria"/>
                <w:caps/>
                <w:color w:val="000000"/>
                <w:sz w:val="24"/>
                <w:szCs w:val="24"/>
              </w:rPr>
            </w:pPr>
          </w:p>
        </w:tc>
      </w:tr>
      <w:tr w:rsidR="00303B00" w14:paraId="0FFD3C3E" w14:textId="77777777" w:rsidTr="00AF59B3">
        <w:tc>
          <w:tcPr>
            <w:tcW w:w="2254" w:type="dxa"/>
            <w:vAlign w:val="bottom"/>
          </w:tcPr>
          <w:p w14:paraId="3EDFA1A0" w14:textId="6A65B295" w:rsidR="00303B00" w:rsidRPr="00303B00" w:rsidRDefault="00303B00" w:rsidP="00303B00">
            <w:pPr>
              <w:rPr>
                <w:rFonts w:ascii="Cambria" w:hAnsi="Cambria"/>
                <w:color w:val="000000"/>
                <w:sz w:val="24"/>
                <w:szCs w:val="24"/>
              </w:rPr>
            </w:pPr>
            <w:r w:rsidRPr="00303B00">
              <w:rPr>
                <w:rFonts w:ascii="Cambria" w:hAnsi="Cambria"/>
                <w:color w:val="000000"/>
                <w:sz w:val="24"/>
                <w:szCs w:val="24"/>
              </w:rPr>
              <w:t>NWG.L</w:t>
            </w:r>
          </w:p>
        </w:tc>
        <w:tc>
          <w:tcPr>
            <w:tcW w:w="2254" w:type="dxa"/>
            <w:vAlign w:val="center"/>
          </w:tcPr>
          <w:p w14:paraId="2448468D" w14:textId="77777777" w:rsidR="00303B00" w:rsidRPr="00303B00" w:rsidRDefault="00303B00" w:rsidP="00303B00">
            <w:pPr>
              <w:rPr>
                <w:rFonts w:ascii="Cambria" w:hAnsi="Cambria"/>
                <w:caps/>
                <w:color w:val="000000"/>
                <w:sz w:val="24"/>
                <w:szCs w:val="24"/>
              </w:rPr>
            </w:pPr>
          </w:p>
        </w:tc>
        <w:tc>
          <w:tcPr>
            <w:tcW w:w="2254" w:type="dxa"/>
            <w:vAlign w:val="center"/>
          </w:tcPr>
          <w:p w14:paraId="03C75762" w14:textId="77777777" w:rsidR="00303B00" w:rsidRPr="00303B00" w:rsidRDefault="00303B00" w:rsidP="00303B00">
            <w:pPr>
              <w:rPr>
                <w:rFonts w:ascii="Cambria" w:hAnsi="Cambria"/>
                <w:caps/>
                <w:color w:val="000000"/>
                <w:sz w:val="24"/>
                <w:szCs w:val="24"/>
              </w:rPr>
            </w:pPr>
          </w:p>
        </w:tc>
        <w:tc>
          <w:tcPr>
            <w:tcW w:w="2254" w:type="dxa"/>
            <w:vAlign w:val="center"/>
          </w:tcPr>
          <w:p w14:paraId="116FFB02" w14:textId="77777777" w:rsidR="00303B00" w:rsidRPr="00303B00" w:rsidRDefault="00303B00" w:rsidP="00303B00">
            <w:pPr>
              <w:rPr>
                <w:rFonts w:ascii="Cambria" w:hAnsi="Cambria"/>
                <w:caps/>
                <w:color w:val="000000"/>
                <w:sz w:val="24"/>
                <w:szCs w:val="24"/>
              </w:rPr>
            </w:pPr>
          </w:p>
        </w:tc>
      </w:tr>
      <w:tr w:rsidR="00303B00" w14:paraId="46831BC9" w14:textId="77777777" w:rsidTr="00AF59B3">
        <w:tc>
          <w:tcPr>
            <w:tcW w:w="2254" w:type="dxa"/>
            <w:vAlign w:val="bottom"/>
          </w:tcPr>
          <w:p w14:paraId="19FEFDF4" w14:textId="5A80FACF" w:rsidR="00303B00" w:rsidRPr="00303B00" w:rsidRDefault="00303B00" w:rsidP="00303B00">
            <w:pPr>
              <w:rPr>
                <w:rFonts w:ascii="Cambria" w:hAnsi="Cambria"/>
                <w:color w:val="000000"/>
                <w:sz w:val="24"/>
                <w:szCs w:val="24"/>
              </w:rPr>
            </w:pPr>
            <w:r w:rsidRPr="00303B00">
              <w:rPr>
                <w:rFonts w:ascii="Cambria" w:hAnsi="Cambria"/>
                <w:color w:val="000000"/>
                <w:sz w:val="24"/>
                <w:szCs w:val="24"/>
              </w:rPr>
              <w:t>III.L</w:t>
            </w:r>
          </w:p>
        </w:tc>
        <w:tc>
          <w:tcPr>
            <w:tcW w:w="2254" w:type="dxa"/>
            <w:vAlign w:val="center"/>
          </w:tcPr>
          <w:p w14:paraId="66613282" w14:textId="77777777" w:rsidR="00303B00" w:rsidRPr="00303B00" w:rsidRDefault="00303B00" w:rsidP="00303B00">
            <w:pPr>
              <w:rPr>
                <w:rFonts w:ascii="Cambria" w:hAnsi="Cambria"/>
                <w:caps/>
                <w:color w:val="000000"/>
                <w:sz w:val="24"/>
                <w:szCs w:val="24"/>
              </w:rPr>
            </w:pPr>
          </w:p>
        </w:tc>
        <w:tc>
          <w:tcPr>
            <w:tcW w:w="2254" w:type="dxa"/>
            <w:vAlign w:val="center"/>
          </w:tcPr>
          <w:p w14:paraId="39DBA042" w14:textId="77777777" w:rsidR="00303B00" w:rsidRPr="00303B00" w:rsidRDefault="00303B00" w:rsidP="00303B00">
            <w:pPr>
              <w:rPr>
                <w:rFonts w:ascii="Cambria" w:hAnsi="Cambria"/>
                <w:caps/>
                <w:color w:val="000000"/>
                <w:sz w:val="24"/>
                <w:szCs w:val="24"/>
              </w:rPr>
            </w:pPr>
          </w:p>
        </w:tc>
        <w:tc>
          <w:tcPr>
            <w:tcW w:w="2254" w:type="dxa"/>
            <w:vAlign w:val="center"/>
          </w:tcPr>
          <w:p w14:paraId="399FE78F" w14:textId="77777777" w:rsidR="00303B00" w:rsidRPr="00303B00" w:rsidRDefault="00303B00" w:rsidP="00303B00">
            <w:pPr>
              <w:rPr>
                <w:rFonts w:ascii="Cambria" w:hAnsi="Cambria"/>
                <w:caps/>
                <w:color w:val="000000"/>
                <w:sz w:val="24"/>
                <w:szCs w:val="24"/>
              </w:rPr>
            </w:pPr>
          </w:p>
        </w:tc>
      </w:tr>
      <w:tr w:rsidR="00303B00" w14:paraId="1E7AAF24" w14:textId="77777777" w:rsidTr="00AF59B3">
        <w:tc>
          <w:tcPr>
            <w:tcW w:w="2254" w:type="dxa"/>
            <w:vAlign w:val="bottom"/>
          </w:tcPr>
          <w:p w14:paraId="7AC815BB" w14:textId="2122BAA2" w:rsidR="00303B00" w:rsidRPr="00303B00" w:rsidRDefault="00303B00" w:rsidP="00303B00">
            <w:pPr>
              <w:rPr>
                <w:rFonts w:ascii="Cambria" w:hAnsi="Cambria"/>
                <w:color w:val="000000"/>
                <w:sz w:val="24"/>
                <w:szCs w:val="24"/>
              </w:rPr>
            </w:pPr>
            <w:r w:rsidRPr="00303B00">
              <w:rPr>
                <w:rFonts w:ascii="Cambria" w:hAnsi="Cambria"/>
                <w:color w:val="000000"/>
                <w:sz w:val="24"/>
                <w:szCs w:val="24"/>
              </w:rPr>
              <w:t>HGT.L</w:t>
            </w:r>
          </w:p>
        </w:tc>
        <w:tc>
          <w:tcPr>
            <w:tcW w:w="2254" w:type="dxa"/>
            <w:vAlign w:val="center"/>
          </w:tcPr>
          <w:p w14:paraId="68F6AE8D" w14:textId="77777777" w:rsidR="00303B00" w:rsidRPr="00303B00" w:rsidRDefault="00303B00" w:rsidP="00303B00">
            <w:pPr>
              <w:rPr>
                <w:rFonts w:ascii="Cambria" w:hAnsi="Cambria"/>
                <w:caps/>
                <w:color w:val="000000"/>
                <w:sz w:val="24"/>
                <w:szCs w:val="24"/>
              </w:rPr>
            </w:pPr>
          </w:p>
        </w:tc>
        <w:tc>
          <w:tcPr>
            <w:tcW w:w="2254" w:type="dxa"/>
            <w:vAlign w:val="center"/>
          </w:tcPr>
          <w:p w14:paraId="5A934EBB" w14:textId="77777777" w:rsidR="00303B00" w:rsidRPr="00303B00" w:rsidRDefault="00303B00" w:rsidP="00303B00">
            <w:pPr>
              <w:rPr>
                <w:rFonts w:ascii="Cambria" w:hAnsi="Cambria"/>
                <w:caps/>
                <w:color w:val="000000"/>
                <w:sz w:val="24"/>
                <w:szCs w:val="24"/>
              </w:rPr>
            </w:pPr>
          </w:p>
        </w:tc>
        <w:tc>
          <w:tcPr>
            <w:tcW w:w="2254" w:type="dxa"/>
            <w:vAlign w:val="center"/>
          </w:tcPr>
          <w:p w14:paraId="60405145" w14:textId="77777777" w:rsidR="00303B00" w:rsidRPr="00303B00" w:rsidRDefault="00303B00" w:rsidP="00303B00">
            <w:pPr>
              <w:rPr>
                <w:rFonts w:ascii="Cambria" w:hAnsi="Cambria"/>
                <w:caps/>
                <w:color w:val="000000"/>
                <w:sz w:val="24"/>
                <w:szCs w:val="24"/>
              </w:rPr>
            </w:pPr>
          </w:p>
        </w:tc>
      </w:tr>
      <w:tr w:rsidR="00303B00" w14:paraId="7430E44C" w14:textId="77777777" w:rsidTr="00AF59B3">
        <w:tc>
          <w:tcPr>
            <w:tcW w:w="2254" w:type="dxa"/>
            <w:vAlign w:val="bottom"/>
          </w:tcPr>
          <w:p w14:paraId="6866A144" w14:textId="4C5E8DC0" w:rsidR="00303B00" w:rsidRPr="00303B00" w:rsidRDefault="00303B00" w:rsidP="00303B00">
            <w:pPr>
              <w:rPr>
                <w:rFonts w:ascii="Cambria" w:hAnsi="Cambria"/>
                <w:color w:val="000000"/>
                <w:sz w:val="24"/>
                <w:szCs w:val="24"/>
              </w:rPr>
            </w:pPr>
            <w:r w:rsidRPr="00303B00">
              <w:rPr>
                <w:rFonts w:ascii="Cambria" w:hAnsi="Cambria"/>
                <w:color w:val="000000"/>
                <w:sz w:val="24"/>
                <w:szCs w:val="24"/>
              </w:rPr>
              <w:t>FRES.L</w:t>
            </w:r>
          </w:p>
        </w:tc>
        <w:tc>
          <w:tcPr>
            <w:tcW w:w="2254" w:type="dxa"/>
            <w:vAlign w:val="center"/>
          </w:tcPr>
          <w:p w14:paraId="4445976D" w14:textId="77777777" w:rsidR="00303B00" w:rsidRPr="00303B00" w:rsidRDefault="00303B00" w:rsidP="00303B00">
            <w:pPr>
              <w:rPr>
                <w:rFonts w:ascii="Cambria" w:hAnsi="Cambria"/>
                <w:caps/>
                <w:color w:val="000000"/>
                <w:sz w:val="24"/>
                <w:szCs w:val="24"/>
              </w:rPr>
            </w:pPr>
          </w:p>
        </w:tc>
        <w:tc>
          <w:tcPr>
            <w:tcW w:w="2254" w:type="dxa"/>
            <w:vAlign w:val="center"/>
          </w:tcPr>
          <w:p w14:paraId="3CCF15C0" w14:textId="77777777" w:rsidR="00303B00" w:rsidRPr="00303B00" w:rsidRDefault="00303B00" w:rsidP="00303B00">
            <w:pPr>
              <w:rPr>
                <w:rFonts w:ascii="Cambria" w:hAnsi="Cambria"/>
                <w:caps/>
                <w:color w:val="000000"/>
                <w:sz w:val="24"/>
                <w:szCs w:val="24"/>
              </w:rPr>
            </w:pPr>
          </w:p>
        </w:tc>
        <w:tc>
          <w:tcPr>
            <w:tcW w:w="2254" w:type="dxa"/>
            <w:vAlign w:val="center"/>
          </w:tcPr>
          <w:p w14:paraId="6F8248D4" w14:textId="77777777" w:rsidR="00303B00" w:rsidRPr="00303B00" w:rsidRDefault="00303B00" w:rsidP="00303B00">
            <w:pPr>
              <w:rPr>
                <w:rFonts w:ascii="Cambria" w:hAnsi="Cambria"/>
                <w:caps/>
                <w:color w:val="000000"/>
                <w:sz w:val="24"/>
                <w:szCs w:val="24"/>
              </w:rPr>
            </w:pPr>
          </w:p>
        </w:tc>
      </w:tr>
      <w:tr w:rsidR="00303B00" w14:paraId="2D8C4F6F" w14:textId="77777777" w:rsidTr="00AF59B3">
        <w:tc>
          <w:tcPr>
            <w:tcW w:w="2254" w:type="dxa"/>
            <w:vAlign w:val="bottom"/>
          </w:tcPr>
          <w:p w14:paraId="2CAFF3CD" w14:textId="6270E1BA" w:rsidR="00303B00" w:rsidRPr="00303B00" w:rsidRDefault="00303B00" w:rsidP="00303B00">
            <w:pPr>
              <w:rPr>
                <w:rFonts w:ascii="Cambria" w:hAnsi="Cambria"/>
                <w:color w:val="000000"/>
                <w:sz w:val="24"/>
                <w:szCs w:val="24"/>
              </w:rPr>
            </w:pPr>
            <w:r w:rsidRPr="00303B00">
              <w:rPr>
                <w:rFonts w:ascii="Cambria" w:hAnsi="Cambria"/>
                <w:color w:val="000000"/>
                <w:sz w:val="24"/>
                <w:szCs w:val="24"/>
              </w:rPr>
              <w:t>EDV.L</w:t>
            </w:r>
          </w:p>
        </w:tc>
        <w:tc>
          <w:tcPr>
            <w:tcW w:w="2254" w:type="dxa"/>
            <w:vAlign w:val="center"/>
          </w:tcPr>
          <w:p w14:paraId="7528C3A8" w14:textId="77777777" w:rsidR="00303B00" w:rsidRPr="00303B00" w:rsidRDefault="00303B00" w:rsidP="00303B00">
            <w:pPr>
              <w:rPr>
                <w:rFonts w:ascii="Cambria" w:hAnsi="Cambria"/>
                <w:caps/>
                <w:color w:val="000000"/>
                <w:sz w:val="24"/>
                <w:szCs w:val="24"/>
              </w:rPr>
            </w:pPr>
          </w:p>
        </w:tc>
        <w:tc>
          <w:tcPr>
            <w:tcW w:w="2254" w:type="dxa"/>
            <w:vAlign w:val="center"/>
          </w:tcPr>
          <w:p w14:paraId="37E6E91C" w14:textId="77777777" w:rsidR="00303B00" w:rsidRPr="00303B00" w:rsidRDefault="00303B00" w:rsidP="00303B00">
            <w:pPr>
              <w:rPr>
                <w:rFonts w:ascii="Cambria" w:hAnsi="Cambria"/>
                <w:caps/>
                <w:color w:val="000000"/>
                <w:sz w:val="24"/>
                <w:szCs w:val="24"/>
              </w:rPr>
            </w:pPr>
          </w:p>
        </w:tc>
        <w:tc>
          <w:tcPr>
            <w:tcW w:w="2254" w:type="dxa"/>
            <w:vAlign w:val="center"/>
          </w:tcPr>
          <w:p w14:paraId="3089B25C" w14:textId="77777777" w:rsidR="00303B00" w:rsidRPr="00303B00" w:rsidRDefault="00303B00" w:rsidP="00303B00">
            <w:pPr>
              <w:rPr>
                <w:rFonts w:ascii="Cambria" w:hAnsi="Cambria"/>
                <w:caps/>
                <w:color w:val="000000"/>
                <w:sz w:val="24"/>
                <w:szCs w:val="24"/>
              </w:rPr>
            </w:pPr>
          </w:p>
        </w:tc>
      </w:tr>
      <w:tr w:rsidR="00303B00" w14:paraId="6EB0807C" w14:textId="77777777" w:rsidTr="00AF59B3">
        <w:tc>
          <w:tcPr>
            <w:tcW w:w="2254" w:type="dxa"/>
            <w:vAlign w:val="bottom"/>
          </w:tcPr>
          <w:p w14:paraId="27A9181A" w14:textId="1F909AC0" w:rsidR="00303B00" w:rsidRPr="00303B00" w:rsidRDefault="00303B00" w:rsidP="00303B00">
            <w:pPr>
              <w:rPr>
                <w:rFonts w:ascii="Cambria" w:hAnsi="Cambria"/>
                <w:color w:val="000000"/>
                <w:sz w:val="24"/>
                <w:szCs w:val="24"/>
              </w:rPr>
            </w:pPr>
            <w:r w:rsidRPr="00303B00">
              <w:rPr>
                <w:rFonts w:ascii="Cambria" w:hAnsi="Cambria"/>
                <w:color w:val="000000"/>
                <w:sz w:val="24"/>
                <w:szCs w:val="24"/>
              </w:rPr>
              <w:t>SRB.L</w:t>
            </w:r>
          </w:p>
        </w:tc>
        <w:tc>
          <w:tcPr>
            <w:tcW w:w="2254" w:type="dxa"/>
            <w:vAlign w:val="center"/>
          </w:tcPr>
          <w:p w14:paraId="1D0E68AD" w14:textId="77777777" w:rsidR="00303B00" w:rsidRPr="00303B00" w:rsidRDefault="00303B00" w:rsidP="00303B00">
            <w:pPr>
              <w:rPr>
                <w:rFonts w:ascii="Cambria" w:hAnsi="Cambria"/>
                <w:caps/>
                <w:color w:val="000000"/>
                <w:sz w:val="24"/>
                <w:szCs w:val="24"/>
              </w:rPr>
            </w:pPr>
          </w:p>
        </w:tc>
        <w:tc>
          <w:tcPr>
            <w:tcW w:w="2254" w:type="dxa"/>
            <w:vAlign w:val="center"/>
          </w:tcPr>
          <w:p w14:paraId="4CD27669" w14:textId="77777777" w:rsidR="00303B00" w:rsidRPr="00303B00" w:rsidRDefault="00303B00" w:rsidP="00303B00">
            <w:pPr>
              <w:rPr>
                <w:rFonts w:ascii="Cambria" w:hAnsi="Cambria"/>
                <w:caps/>
                <w:color w:val="000000"/>
                <w:sz w:val="24"/>
                <w:szCs w:val="24"/>
              </w:rPr>
            </w:pPr>
          </w:p>
        </w:tc>
        <w:tc>
          <w:tcPr>
            <w:tcW w:w="2254" w:type="dxa"/>
            <w:vAlign w:val="center"/>
          </w:tcPr>
          <w:p w14:paraId="41157183" w14:textId="77777777" w:rsidR="00303B00" w:rsidRPr="00303B00" w:rsidRDefault="00303B00" w:rsidP="00303B00">
            <w:pPr>
              <w:rPr>
                <w:rFonts w:ascii="Cambria" w:hAnsi="Cambria"/>
                <w:caps/>
                <w:color w:val="000000"/>
                <w:sz w:val="24"/>
                <w:szCs w:val="24"/>
              </w:rPr>
            </w:pPr>
          </w:p>
        </w:tc>
      </w:tr>
      <w:tr w:rsidR="00303B00" w14:paraId="5F8F57BC" w14:textId="77777777" w:rsidTr="00AF59B3">
        <w:tc>
          <w:tcPr>
            <w:tcW w:w="2254" w:type="dxa"/>
            <w:vAlign w:val="bottom"/>
          </w:tcPr>
          <w:p w14:paraId="296756C2" w14:textId="098D8D19" w:rsidR="00303B00" w:rsidRPr="00303B00" w:rsidRDefault="00303B00" w:rsidP="00303B00">
            <w:pPr>
              <w:rPr>
                <w:rFonts w:ascii="Cambria" w:hAnsi="Cambria"/>
                <w:color w:val="000000"/>
                <w:sz w:val="24"/>
                <w:szCs w:val="24"/>
              </w:rPr>
            </w:pPr>
            <w:r w:rsidRPr="00303B00">
              <w:rPr>
                <w:rFonts w:ascii="Cambria" w:hAnsi="Cambria"/>
                <w:color w:val="000000"/>
                <w:sz w:val="24"/>
                <w:szCs w:val="24"/>
              </w:rPr>
              <w:t>ALTN.L</w:t>
            </w:r>
          </w:p>
        </w:tc>
        <w:tc>
          <w:tcPr>
            <w:tcW w:w="2254" w:type="dxa"/>
            <w:vAlign w:val="center"/>
          </w:tcPr>
          <w:p w14:paraId="7C782A9D" w14:textId="77777777" w:rsidR="00303B00" w:rsidRPr="00303B00" w:rsidRDefault="00303B00" w:rsidP="00303B00">
            <w:pPr>
              <w:rPr>
                <w:rFonts w:ascii="Cambria" w:hAnsi="Cambria"/>
                <w:caps/>
                <w:color w:val="000000"/>
                <w:sz w:val="24"/>
                <w:szCs w:val="24"/>
              </w:rPr>
            </w:pPr>
          </w:p>
        </w:tc>
        <w:tc>
          <w:tcPr>
            <w:tcW w:w="2254" w:type="dxa"/>
            <w:vAlign w:val="center"/>
          </w:tcPr>
          <w:p w14:paraId="2907B695" w14:textId="77777777" w:rsidR="00303B00" w:rsidRPr="00303B00" w:rsidRDefault="00303B00" w:rsidP="00303B00">
            <w:pPr>
              <w:rPr>
                <w:rFonts w:ascii="Cambria" w:hAnsi="Cambria"/>
                <w:caps/>
                <w:color w:val="000000"/>
                <w:sz w:val="24"/>
                <w:szCs w:val="24"/>
              </w:rPr>
            </w:pPr>
          </w:p>
        </w:tc>
        <w:tc>
          <w:tcPr>
            <w:tcW w:w="2254" w:type="dxa"/>
            <w:vAlign w:val="center"/>
          </w:tcPr>
          <w:p w14:paraId="27F43B30" w14:textId="77777777" w:rsidR="00303B00" w:rsidRPr="00303B00" w:rsidRDefault="00303B00" w:rsidP="00303B00">
            <w:pPr>
              <w:rPr>
                <w:rFonts w:ascii="Cambria" w:hAnsi="Cambria"/>
                <w:caps/>
                <w:color w:val="000000"/>
                <w:sz w:val="24"/>
                <w:szCs w:val="24"/>
              </w:rPr>
            </w:pPr>
          </w:p>
        </w:tc>
      </w:tr>
      <w:tr w:rsidR="00303B00" w14:paraId="24137CB3" w14:textId="77777777" w:rsidTr="00AF59B3">
        <w:tc>
          <w:tcPr>
            <w:tcW w:w="2254" w:type="dxa"/>
            <w:vAlign w:val="bottom"/>
          </w:tcPr>
          <w:p w14:paraId="7617D103" w14:textId="166AA74A" w:rsidR="00303B00" w:rsidRPr="00303B00" w:rsidRDefault="00303B00" w:rsidP="00303B00">
            <w:pPr>
              <w:rPr>
                <w:rFonts w:ascii="Cambria" w:hAnsi="Cambria"/>
                <w:color w:val="000000"/>
                <w:sz w:val="24"/>
                <w:szCs w:val="24"/>
              </w:rPr>
            </w:pPr>
            <w:r w:rsidRPr="00303B00">
              <w:rPr>
                <w:rFonts w:ascii="Cambria" w:hAnsi="Cambria"/>
                <w:color w:val="000000"/>
                <w:sz w:val="24"/>
                <w:szCs w:val="24"/>
              </w:rPr>
              <w:t>ANTO.L</w:t>
            </w:r>
          </w:p>
        </w:tc>
        <w:tc>
          <w:tcPr>
            <w:tcW w:w="2254" w:type="dxa"/>
            <w:vAlign w:val="center"/>
          </w:tcPr>
          <w:p w14:paraId="0ABA61B8" w14:textId="77777777" w:rsidR="00303B00" w:rsidRPr="00303B00" w:rsidRDefault="00303B00" w:rsidP="00303B00">
            <w:pPr>
              <w:rPr>
                <w:rFonts w:ascii="Cambria" w:hAnsi="Cambria"/>
                <w:caps/>
                <w:color w:val="000000"/>
                <w:sz w:val="24"/>
                <w:szCs w:val="24"/>
              </w:rPr>
            </w:pPr>
          </w:p>
        </w:tc>
        <w:tc>
          <w:tcPr>
            <w:tcW w:w="2254" w:type="dxa"/>
            <w:vAlign w:val="center"/>
          </w:tcPr>
          <w:p w14:paraId="2B438C9D" w14:textId="77777777" w:rsidR="00303B00" w:rsidRPr="00303B00" w:rsidRDefault="00303B00" w:rsidP="00303B00">
            <w:pPr>
              <w:rPr>
                <w:rFonts w:ascii="Cambria" w:hAnsi="Cambria"/>
                <w:caps/>
                <w:color w:val="000000"/>
                <w:sz w:val="24"/>
                <w:szCs w:val="24"/>
              </w:rPr>
            </w:pPr>
          </w:p>
        </w:tc>
        <w:tc>
          <w:tcPr>
            <w:tcW w:w="2254" w:type="dxa"/>
            <w:vAlign w:val="center"/>
          </w:tcPr>
          <w:p w14:paraId="5976226C" w14:textId="77777777" w:rsidR="00303B00" w:rsidRPr="00303B00" w:rsidRDefault="00303B00" w:rsidP="00303B00">
            <w:pPr>
              <w:rPr>
                <w:rFonts w:ascii="Cambria" w:hAnsi="Cambria"/>
                <w:caps/>
                <w:color w:val="000000"/>
                <w:sz w:val="24"/>
                <w:szCs w:val="24"/>
              </w:rPr>
            </w:pPr>
          </w:p>
        </w:tc>
      </w:tr>
      <w:tr w:rsidR="00303B00" w14:paraId="0122E74A" w14:textId="77777777" w:rsidTr="00AF59B3">
        <w:tc>
          <w:tcPr>
            <w:tcW w:w="2254" w:type="dxa"/>
            <w:vAlign w:val="bottom"/>
          </w:tcPr>
          <w:p w14:paraId="62980398" w14:textId="14A085FF" w:rsidR="00303B00" w:rsidRPr="00303B00" w:rsidRDefault="00303B00" w:rsidP="00303B00">
            <w:pPr>
              <w:rPr>
                <w:rFonts w:ascii="Cambria" w:hAnsi="Cambria"/>
                <w:color w:val="000000"/>
                <w:sz w:val="24"/>
                <w:szCs w:val="24"/>
              </w:rPr>
            </w:pPr>
            <w:r w:rsidRPr="00303B00">
              <w:rPr>
                <w:rFonts w:ascii="Cambria" w:hAnsi="Cambria"/>
                <w:color w:val="000000"/>
                <w:sz w:val="24"/>
                <w:szCs w:val="24"/>
              </w:rPr>
              <w:t>RIO.L</w:t>
            </w:r>
          </w:p>
        </w:tc>
        <w:tc>
          <w:tcPr>
            <w:tcW w:w="2254" w:type="dxa"/>
            <w:vAlign w:val="center"/>
          </w:tcPr>
          <w:p w14:paraId="7CCED9EC" w14:textId="77777777" w:rsidR="00303B00" w:rsidRPr="00303B00" w:rsidRDefault="00303B00" w:rsidP="00303B00">
            <w:pPr>
              <w:rPr>
                <w:rFonts w:ascii="Cambria" w:hAnsi="Cambria"/>
                <w:caps/>
                <w:color w:val="000000"/>
                <w:sz w:val="24"/>
                <w:szCs w:val="24"/>
              </w:rPr>
            </w:pPr>
          </w:p>
        </w:tc>
        <w:tc>
          <w:tcPr>
            <w:tcW w:w="2254" w:type="dxa"/>
            <w:vAlign w:val="center"/>
          </w:tcPr>
          <w:p w14:paraId="268B2EAB" w14:textId="77777777" w:rsidR="00303B00" w:rsidRPr="00303B00" w:rsidRDefault="00303B00" w:rsidP="00303B00">
            <w:pPr>
              <w:rPr>
                <w:rFonts w:ascii="Cambria" w:hAnsi="Cambria"/>
                <w:caps/>
                <w:color w:val="000000"/>
                <w:sz w:val="24"/>
                <w:szCs w:val="24"/>
              </w:rPr>
            </w:pPr>
          </w:p>
        </w:tc>
        <w:tc>
          <w:tcPr>
            <w:tcW w:w="2254" w:type="dxa"/>
            <w:vAlign w:val="center"/>
          </w:tcPr>
          <w:p w14:paraId="448A1A61" w14:textId="77777777" w:rsidR="00303B00" w:rsidRPr="00303B00" w:rsidRDefault="00303B00" w:rsidP="00303B00">
            <w:pPr>
              <w:rPr>
                <w:rFonts w:ascii="Cambria" w:hAnsi="Cambria"/>
                <w:caps/>
                <w:color w:val="000000"/>
                <w:sz w:val="24"/>
                <w:szCs w:val="24"/>
              </w:rPr>
            </w:pPr>
          </w:p>
        </w:tc>
      </w:tr>
      <w:tr w:rsidR="00303B00" w14:paraId="18ADF31D" w14:textId="77777777" w:rsidTr="00AF59B3">
        <w:tc>
          <w:tcPr>
            <w:tcW w:w="2254" w:type="dxa"/>
            <w:vAlign w:val="bottom"/>
          </w:tcPr>
          <w:p w14:paraId="3EFC38CF" w14:textId="6D413F62" w:rsidR="00303B00" w:rsidRPr="00303B00" w:rsidRDefault="00303B00" w:rsidP="00303B00">
            <w:pPr>
              <w:rPr>
                <w:rFonts w:ascii="Cambria" w:hAnsi="Cambria"/>
                <w:color w:val="000000"/>
                <w:sz w:val="24"/>
                <w:szCs w:val="24"/>
              </w:rPr>
            </w:pPr>
            <w:r w:rsidRPr="00303B00">
              <w:rPr>
                <w:rFonts w:ascii="Cambria" w:hAnsi="Cambria"/>
                <w:color w:val="000000"/>
                <w:sz w:val="24"/>
                <w:szCs w:val="24"/>
              </w:rPr>
              <w:t>GLEN.L</w:t>
            </w:r>
          </w:p>
        </w:tc>
        <w:tc>
          <w:tcPr>
            <w:tcW w:w="2254" w:type="dxa"/>
            <w:vAlign w:val="center"/>
          </w:tcPr>
          <w:p w14:paraId="6D1C32B1" w14:textId="77777777" w:rsidR="00303B00" w:rsidRPr="00303B00" w:rsidRDefault="00303B00" w:rsidP="00303B00">
            <w:pPr>
              <w:rPr>
                <w:rFonts w:ascii="Cambria" w:hAnsi="Cambria"/>
                <w:caps/>
                <w:color w:val="000000"/>
                <w:sz w:val="24"/>
                <w:szCs w:val="24"/>
              </w:rPr>
            </w:pPr>
          </w:p>
        </w:tc>
        <w:tc>
          <w:tcPr>
            <w:tcW w:w="2254" w:type="dxa"/>
            <w:vAlign w:val="center"/>
          </w:tcPr>
          <w:p w14:paraId="6DD193CE" w14:textId="77777777" w:rsidR="00303B00" w:rsidRPr="00303B00" w:rsidRDefault="00303B00" w:rsidP="00303B00">
            <w:pPr>
              <w:rPr>
                <w:rFonts w:ascii="Cambria" w:hAnsi="Cambria"/>
                <w:caps/>
                <w:color w:val="000000"/>
                <w:sz w:val="24"/>
                <w:szCs w:val="24"/>
              </w:rPr>
            </w:pPr>
          </w:p>
        </w:tc>
        <w:tc>
          <w:tcPr>
            <w:tcW w:w="2254" w:type="dxa"/>
            <w:vAlign w:val="center"/>
          </w:tcPr>
          <w:p w14:paraId="1C202812" w14:textId="77777777" w:rsidR="00303B00" w:rsidRPr="00303B00" w:rsidRDefault="00303B00" w:rsidP="00303B00">
            <w:pPr>
              <w:rPr>
                <w:rFonts w:ascii="Cambria" w:hAnsi="Cambria"/>
                <w:caps/>
                <w:color w:val="000000"/>
                <w:sz w:val="24"/>
                <w:szCs w:val="24"/>
              </w:rPr>
            </w:pPr>
          </w:p>
        </w:tc>
      </w:tr>
      <w:tr w:rsidR="00303B00" w14:paraId="0B1CC7FB" w14:textId="77777777" w:rsidTr="00AF59B3">
        <w:tc>
          <w:tcPr>
            <w:tcW w:w="2254" w:type="dxa"/>
            <w:vAlign w:val="bottom"/>
          </w:tcPr>
          <w:p w14:paraId="770E046B" w14:textId="7B2971D5" w:rsidR="00303B00" w:rsidRPr="00303B00" w:rsidRDefault="00303B00" w:rsidP="00303B00">
            <w:pPr>
              <w:rPr>
                <w:rFonts w:ascii="Cambria" w:hAnsi="Cambria"/>
                <w:color w:val="000000"/>
                <w:sz w:val="24"/>
                <w:szCs w:val="24"/>
              </w:rPr>
            </w:pPr>
            <w:r w:rsidRPr="00303B00">
              <w:rPr>
                <w:rFonts w:ascii="Cambria" w:hAnsi="Cambria"/>
                <w:color w:val="000000"/>
                <w:sz w:val="24"/>
                <w:szCs w:val="24"/>
              </w:rPr>
              <w:t>AAL.L</w:t>
            </w:r>
          </w:p>
        </w:tc>
        <w:tc>
          <w:tcPr>
            <w:tcW w:w="2254" w:type="dxa"/>
            <w:vAlign w:val="center"/>
          </w:tcPr>
          <w:p w14:paraId="6FCC7102" w14:textId="77777777" w:rsidR="00303B00" w:rsidRPr="00303B00" w:rsidRDefault="00303B00" w:rsidP="00303B00">
            <w:pPr>
              <w:rPr>
                <w:rFonts w:ascii="Cambria" w:hAnsi="Cambria"/>
                <w:caps/>
                <w:color w:val="000000"/>
                <w:sz w:val="24"/>
                <w:szCs w:val="24"/>
              </w:rPr>
            </w:pPr>
          </w:p>
        </w:tc>
        <w:tc>
          <w:tcPr>
            <w:tcW w:w="2254" w:type="dxa"/>
            <w:vAlign w:val="center"/>
          </w:tcPr>
          <w:p w14:paraId="1118488C" w14:textId="77777777" w:rsidR="00303B00" w:rsidRPr="00303B00" w:rsidRDefault="00303B00" w:rsidP="00303B00">
            <w:pPr>
              <w:rPr>
                <w:rFonts w:ascii="Cambria" w:hAnsi="Cambria"/>
                <w:caps/>
                <w:color w:val="000000"/>
                <w:sz w:val="24"/>
                <w:szCs w:val="24"/>
              </w:rPr>
            </w:pPr>
          </w:p>
        </w:tc>
        <w:tc>
          <w:tcPr>
            <w:tcW w:w="2254" w:type="dxa"/>
            <w:vAlign w:val="center"/>
          </w:tcPr>
          <w:p w14:paraId="6BA3EF35" w14:textId="77777777" w:rsidR="00303B00" w:rsidRPr="00303B00" w:rsidRDefault="00303B00" w:rsidP="00303B00">
            <w:pPr>
              <w:rPr>
                <w:rFonts w:ascii="Cambria" w:hAnsi="Cambria"/>
                <w:caps/>
                <w:color w:val="000000"/>
                <w:sz w:val="24"/>
                <w:szCs w:val="24"/>
              </w:rPr>
            </w:pPr>
          </w:p>
        </w:tc>
      </w:tr>
      <w:tr w:rsidR="00303B00" w14:paraId="4BAB0FBF" w14:textId="77777777" w:rsidTr="00AF59B3">
        <w:tc>
          <w:tcPr>
            <w:tcW w:w="2254" w:type="dxa"/>
            <w:vAlign w:val="bottom"/>
          </w:tcPr>
          <w:p w14:paraId="5BD1B8A9" w14:textId="0000F37E" w:rsidR="00303B00" w:rsidRPr="00303B00" w:rsidRDefault="00303B00" w:rsidP="00303B00">
            <w:pPr>
              <w:rPr>
                <w:rFonts w:ascii="Cambria" w:hAnsi="Cambria"/>
                <w:color w:val="000000"/>
                <w:sz w:val="24"/>
                <w:szCs w:val="24"/>
              </w:rPr>
            </w:pPr>
            <w:r w:rsidRPr="00303B00">
              <w:rPr>
                <w:rFonts w:ascii="Cambria" w:hAnsi="Cambria"/>
                <w:color w:val="000000"/>
                <w:sz w:val="24"/>
                <w:szCs w:val="24"/>
              </w:rPr>
              <w:t>RR.L</w:t>
            </w:r>
          </w:p>
        </w:tc>
        <w:tc>
          <w:tcPr>
            <w:tcW w:w="2254" w:type="dxa"/>
            <w:vAlign w:val="center"/>
          </w:tcPr>
          <w:p w14:paraId="17A614BF" w14:textId="77777777" w:rsidR="00303B00" w:rsidRPr="00303B00" w:rsidRDefault="00303B00" w:rsidP="00303B00">
            <w:pPr>
              <w:rPr>
                <w:rFonts w:ascii="Cambria" w:hAnsi="Cambria"/>
                <w:caps/>
                <w:color w:val="000000"/>
                <w:sz w:val="24"/>
                <w:szCs w:val="24"/>
              </w:rPr>
            </w:pPr>
          </w:p>
        </w:tc>
        <w:tc>
          <w:tcPr>
            <w:tcW w:w="2254" w:type="dxa"/>
            <w:vAlign w:val="center"/>
          </w:tcPr>
          <w:p w14:paraId="5976A5B2" w14:textId="77777777" w:rsidR="00303B00" w:rsidRPr="00303B00" w:rsidRDefault="00303B00" w:rsidP="00303B00">
            <w:pPr>
              <w:rPr>
                <w:rFonts w:ascii="Cambria" w:hAnsi="Cambria"/>
                <w:caps/>
                <w:color w:val="000000"/>
                <w:sz w:val="24"/>
                <w:szCs w:val="24"/>
              </w:rPr>
            </w:pPr>
          </w:p>
        </w:tc>
        <w:tc>
          <w:tcPr>
            <w:tcW w:w="2254" w:type="dxa"/>
            <w:vAlign w:val="center"/>
          </w:tcPr>
          <w:p w14:paraId="37BF945A" w14:textId="77777777" w:rsidR="00303B00" w:rsidRPr="00303B00" w:rsidRDefault="00303B00" w:rsidP="00303B00">
            <w:pPr>
              <w:rPr>
                <w:rFonts w:ascii="Cambria" w:hAnsi="Cambria"/>
                <w:caps/>
                <w:color w:val="000000"/>
                <w:sz w:val="24"/>
                <w:szCs w:val="24"/>
              </w:rPr>
            </w:pPr>
          </w:p>
        </w:tc>
      </w:tr>
      <w:tr w:rsidR="00303B00" w14:paraId="16CCAD79" w14:textId="77777777" w:rsidTr="00AF59B3">
        <w:tc>
          <w:tcPr>
            <w:tcW w:w="2254" w:type="dxa"/>
            <w:vAlign w:val="bottom"/>
          </w:tcPr>
          <w:p w14:paraId="191EE934" w14:textId="3F89C6AC" w:rsidR="00303B00" w:rsidRPr="00303B00" w:rsidRDefault="00303B00" w:rsidP="00303B00">
            <w:pPr>
              <w:rPr>
                <w:rFonts w:ascii="Cambria" w:hAnsi="Cambria"/>
                <w:color w:val="000000"/>
                <w:sz w:val="24"/>
                <w:szCs w:val="24"/>
              </w:rPr>
            </w:pPr>
            <w:r w:rsidRPr="00303B00">
              <w:rPr>
                <w:rFonts w:ascii="Cambria" w:hAnsi="Cambria"/>
                <w:color w:val="000000"/>
                <w:sz w:val="24"/>
                <w:szCs w:val="24"/>
              </w:rPr>
              <w:t>BA.L</w:t>
            </w:r>
          </w:p>
        </w:tc>
        <w:tc>
          <w:tcPr>
            <w:tcW w:w="2254" w:type="dxa"/>
            <w:vAlign w:val="center"/>
          </w:tcPr>
          <w:p w14:paraId="51E529A9" w14:textId="77777777" w:rsidR="00303B00" w:rsidRPr="00303B00" w:rsidRDefault="00303B00" w:rsidP="00303B00">
            <w:pPr>
              <w:rPr>
                <w:rFonts w:ascii="Cambria" w:hAnsi="Cambria"/>
                <w:caps/>
                <w:color w:val="000000"/>
                <w:sz w:val="24"/>
                <w:szCs w:val="24"/>
              </w:rPr>
            </w:pPr>
          </w:p>
        </w:tc>
        <w:tc>
          <w:tcPr>
            <w:tcW w:w="2254" w:type="dxa"/>
            <w:vAlign w:val="center"/>
          </w:tcPr>
          <w:p w14:paraId="5F7C13F5" w14:textId="77777777" w:rsidR="00303B00" w:rsidRPr="00303B00" w:rsidRDefault="00303B00" w:rsidP="00303B00">
            <w:pPr>
              <w:rPr>
                <w:rFonts w:ascii="Cambria" w:hAnsi="Cambria"/>
                <w:caps/>
                <w:color w:val="000000"/>
                <w:sz w:val="24"/>
                <w:szCs w:val="24"/>
              </w:rPr>
            </w:pPr>
          </w:p>
        </w:tc>
        <w:tc>
          <w:tcPr>
            <w:tcW w:w="2254" w:type="dxa"/>
            <w:vAlign w:val="center"/>
          </w:tcPr>
          <w:p w14:paraId="3616767F" w14:textId="77777777" w:rsidR="00303B00" w:rsidRPr="00303B00" w:rsidRDefault="00303B00" w:rsidP="00303B00">
            <w:pPr>
              <w:rPr>
                <w:rFonts w:ascii="Cambria" w:hAnsi="Cambria"/>
                <w:caps/>
                <w:color w:val="000000"/>
                <w:sz w:val="24"/>
                <w:szCs w:val="24"/>
              </w:rPr>
            </w:pPr>
          </w:p>
        </w:tc>
      </w:tr>
      <w:tr w:rsidR="00303B00" w14:paraId="110DB055" w14:textId="77777777" w:rsidTr="00AF59B3">
        <w:tc>
          <w:tcPr>
            <w:tcW w:w="2254" w:type="dxa"/>
            <w:vAlign w:val="bottom"/>
          </w:tcPr>
          <w:p w14:paraId="7126B98F" w14:textId="23977A2C" w:rsidR="00303B00" w:rsidRPr="00303B00" w:rsidRDefault="00303B00" w:rsidP="00303B00">
            <w:pPr>
              <w:rPr>
                <w:rFonts w:ascii="Cambria" w:hAnsi="Cambria"/>
                <w:color w:val="000000"/>
                <w:sz w:val="24"/>
                <w:szCs w:val="24"/>
              </w:rPr>
            </w:pPr>
            <w:r w:rsidRPr="00303B00">
              <w:rPr>
                <w:rFonts w:ascii="Cambria" w:hAnsi="Cambria"/>
                <w:color w:val="000000"/>
                <w:sz w:val="24"/>
                <w:szCs w:val="24"/>
              </w:rPr>
              <w:t>QQ.L</w:t>
            </w:r>
          </w:p>
        </w:tc>
        <w:tc>
          <w:tcPr>
            <w:tcW w:w="2254" w:type="dxa"/>
            <w:vAlign w:val="center"/>
          </w:tcPr>
          <w:p w14:paraId="75A99882" w14:textId="77777777" w:rsidR="00303B00" w:rsidRPr="00303B00" w:rsidRDefault="00303B00" w:rsidP="00303B00">
            <w:pPr>
              <w:rPr>
                <w:rFonts w:ascii="Cambria" w:hAnsi="Cambria"/>
                <w:caps/>
                <w:color w:val="000000"/>
                <w:sz w:val="24"/>
                <w:szCs w:val="24"/>
              </w:rPr>
            </w:pPr>
          </w:p>
        </w:tc>
        <w:tc>
          <w:tcPr>
            <w:tcW w:w="2254" w:type="dxa"/>
            <w:vAlign w:val="center"/>
          </w:tcPr>
          <w:p w14:paraId="064CB348" w14:textId="77777777" w:rsidR="00303B00" w:rsidRPr="00303B00" w:rsidRDefault="00303B00" w:rsidP="00303B00">
            <w:pPr>
              <w:rPr>
                <w:rFonts w:ascii="Cambria" w:hAnsi="Cambria"/>
                <w:caps/>
                <w:color w:val="000000"/>
                <w:sz w:val="24"/>
                <w:szCs w:val="24"/>
              </w:rPr>
            </w:pPr>
          </w:p>
        </w:tc>
        <w:tc>
          <w:tcPr>
            <w:tcW w:w="2254" w:type="dxa"/>
            <w:vAlign w:val="center"/>
          </w:tcPr>
          <w:p w14:paraId="478694F7" w14:textId="77777777" w:rsidR="00303B00" w:rsidRPr="00303B00" w:rsidRDefault="00303B00" w:rsidP="00303B00">
            <w:pPr>
              <w:rPr>
                <w:rFonts w:ascii="Cambria" w:hAnsi="Cambria"/>
                <w:caps/>
                <w:color w:val="000000"/>
                <w:sz w:val="24"/>
                <w:szCs w:val="24"/>
              </w:rPr>
            </w:pPr>
          </w:p>
        </w:tc>
      </w:tr>
      <w:tr w:rsidR="00303B00" w14:paraId="529F429F" w14:textId="77777777" w:rsidTr="00303B00">
        <w:trPr>
          <w:trHeight w:val="50"/>
        </w:trPr>
        <w:tc>
          <w:tcPr>
            <w:tcW w:w="2254" w:type="dxa"/>
            <w:vAlign w:val="bottom"/>
          </w:tcPr>
          <w:p w14:paraId="438F3DBD" w14:textId="0536A867" w:rsidR="00303B00" w:rsidRPr="00303B00" w:rsidRDefault="00303B00" w:rsidP="00303B00">
            <w:pPr>
              <w:rPr>
                <w:rFonts w:ascii="Cambria" w:hAnsi="Cambria"/>
                <w:color w:val="000000"/>
                <w:sz w:val="24"/>
                <w:szCs w:val="24"/>
              </w:rPr>
            </w:pPr>
            <w:r w:rsidRPr="00303B00">
              <w:rPr>
                <w:rFonts w:ascii="Cambria" w:hAnsi="Cambria"/>
                <w:color w:val="000000"/>
                <w:sz w:val="24"/>
                <w:szCs w:val="24"/>
              </w:rPr>
              <w:t>BAB.L</w:t>
            </w:r>
          </w:p>
        </w:tc>
        <w:tc>
          <w:tcPr>
            <w:tcW w:w="2254" w:type="dxa"/>
            <w:vAlign w:val="center"/>
          </w:tcPr>
          <w:p w14:paraId="69404DEE" w14:textId="77777777" w:rsidR="00303B00" w:rsidRPr="00303B00" w:rsidRDefault="00303B00" w:rsidP="00303B00">
            <w:pPr>
              <w:rPr>
                <w:rFonts w:ascii="Cambria" w:hAnsi="Cambria"/>
                <w:caps/>
                <w:color w:val="000000"/>
                <w:sz w:val="24"/>
                <w:szCs w:val="24"/>
              </w:rPr>
            </w:pPr>
          </w:p>
        </w:tc>
        <w:tc>
          <w:tcPr>
            <w:tcW w:w="2254" w:type="dxa"/>
            <w:vAlign w:val="center"/>
          </w:tcPr>
          <w:p w14:paraId="62FA8E3B" w14:textId="77777777" w:rsidR="00303B00" w:rsidRPr="00303B00" w:rsidRDefault="00303B00" w:rsidP="00303B00">
            <w:pPr>
              <w:rPr>
                <w:rFonts w:ascii="Cambria" w:hAnsi="Cambria"/>
                <w:caps/>
                <w:color w:val="000000"/>
                <w:sz w:val="24"/>
                <w:szCs w:val="24"/>
              </w:rPr>
            </w:pPr>
          </w:p>
        </w:tc>
        <w:tc>
          <w:tcPr>
            <w:tcW w:w="2254" w:type="dxa"/>
            <w:vAlign w:val="center"/>
          </w:tcPr>
          <w:p w14:paraId="412F676B" w14:textId="77777777" w:rsidR="00303B00" w:rsidRPr="00303B00" w:rsidRDefault="00303B00" w:rsidP="00303B00">
            <w:pPr>
              <w:rPr>
                <w:rFonts w:ascii="Cambria" w:hAnsi="Cambria"/>
                <w:caps/>
                <w:color w:val="000000"/>
                <w:sz w:val="24"/>
                <w:szCs w:val="24"/>
              </w:rPr>
            </w:pPr>
          </w:p>
        </w:tc>
      </w:tr>
      <w:tr w:rsidR="00303B00" w14:paraId="0A07B404" w14:textId="77777777" w:rsidTr="00AF59B3">
        <w:tc>
          <w:tcPr>
            <w:tcW w:w="2254" w:type="dxa"/>
            <w:vAlign w:val="bottom"/>
          </w:tcPr>
          <w:p w14:paraId="75CDD65E" w14:textId="1CE736A9" w:rsidR="00303B00" w:rsidRPr="00303B00" w:rsidRDefault="00303B00" w:rsidP="00303B00">
            <w:pPr>
              <w:rPr>
                <w:rFonts w:ascii="Cambria" w:hAnsi="Cambria"/>
                <w:color w:val="000000"/>
                <w:sz w:val="24"/>
                <w:szCs w:val="24"/>
              </w:rPr>
            </w:pPr>
            <w:r w:rsidRPr="00303B00">
              <w:rPr>
                <w:rFonts w:ascii="Cambria" w:hAnsi="Cambria"/>
                <w:color w:val="000000"/>
                <w:sz w:val="24"/>
                <w:szCs w:val="24"/>
              </w:rPr>
              <w:t>SMIN.L</w:t>
            </w:r>
          </w:p>
        </w:tc>
        <w:tc>
          <w:tcPr>
            <w:tcW w:w="2254" w:type="dxa"/>
            <w:vAlign w:val="center"/>
          </w:tcPr>
          <w:p w14:paraId="74A5C3A4" w14:textId="77777777" w:rsidR="00303B00" w:rsidRPr="00303B00" w:rsidRDefault="00303B00" w:rsidP="00303B00">
            <w:pPr>
              <w:rPr>
                <w:rFonts w:ascii="Cambria" w:hAnsi="Cambria"/>
                <w:caps/>
                <w:color w:val="000000"/>
                <w:sz w:val="24"/>
                <w:szCs w:val="24"/>
              </w:rPr>
            </w:pPr>
          </w:p>
        </w:tc>
        <w:tc>
          <w:tcPr>
            <w:tcW w:w="2254" w:type="dxa"/>
            <w:vAlign w:val="center"/>
          </w:tcPr>
          <w:p w14:paraId="164F4F36" w14:textId="77777777" w:rsidR="00303B00" w:rsidRPr="00303B00" w:rsidRDefault="00303B00" w:rsidP="00303B00">
            <w:pPr>
              <w:rPr>
                <w:rFonts w:ascii="Cambria" w:hAnsi="Cambria"/>
                <w:caps/>
                <w:color w:val="000000"/>
                <w:sz w:val="24"/>
                <w:szCs w:val="24"/>
              </w:rPr>
            </w:pPr>
          </w:p>
        </w:tc>
        <w:tc>
          <w:tcPr>
            <w:tcW w:w="2254" w:type="dxa"/>
            <w:vAlign w:val="center"/>
          </w:tcPr>
          <w:p w14:paraId="7B9E7BFE" w14:textId="77777777" w:rsidR="00303B00" w:rsidRPr="00303B00" w:rsidRDefault="00303B00" w:rsidP="00303B00">
            <w:pPr>
              <w:rPr>
                <w:rFonts w:ascii="Cambria" w:hAnsi="Cambria"/>
                <w:caps/>
                <w:color w:val="000000"/>
                <w:sz w:val="24"/>
                <w:szCs w:val="24"/>
              </w:rPr>
            </w:pPr>
          </w:p>
        </w:tc>
      </w:tr>
    </w:tbl>
    <w:p w14:paraId="650FA802" w14:textId="77777777" w:rsidR="00770052" w:rsidRDefault="00770052"/>
    <w:tbl>
      <w:tblPr>
        <w:tblStyle w:val="TableGrid"/>
        <w:tblW w:w="0" w:type="auto"/>
        <w:tblLook w:val="04A0" w:firstRow="1" w:lastRow="0" w:firstColumn="1" w:lastColumn="0" w:noHBand="0" w:noVBand="1"/>
      </w:tblPr>
      <w:tblGrid>
        <w:gridCol w:w="2254"/>
        <w:gridCol w:w="2254"/>
        <w:gridCol w:w="2254"/>
        <w:gridCol w:w="2254"/>
      </w:tblGrid>
      <w:tr w:rsidR="00303B00" w14:paraId="62C390ED" w14:textId="77777777" w:rsidTr="00303B00">
        <w:tc>
          <w:tcPr>
            <w:tcW w:w="2254" w:type="dxa"/>
          </w:tcPr>
          <w:p w14:paraId="029EC4F6" w14:textId="32641C31" w:rsidR="00303B00" w:rsidRDefault="00303B00">
            <w:r>
              <w:t>Ticker</w:t>
            </w:r>
          </w:p>
        </w:tc>
        <w:tc>
          <w:tcPr>
            <w:tcW w:w="2254" w:type="dxa"/>
          </w:tcPr>
          <w:p w14:paraId="1FF6B4E3" w14:textId="5B6BE543" w:rsidR="00303B00" w:rsidRDefault="00303B00">
            <w:r>
              <w:t>History</w:t>
            </w:r>
          </w:p>
        </w:tc>
        <w:tc>
          <w:tcPr>
            <w:tcW w:w="2254" w:type="dxa"/>
          </w:tcPr>
          <w:p w14:paraId="56861FB0" w14:textId="57B4B4BA" w:rsidR="00303B00" w:rsidRDefault="00303B00">
            <w:r>
              <w:t>Recent News</w:t>
            </w:r>
          </w:p>
        </w:tc>
        <w:tc>
          <w:tcPr>
            <w:tcW w:w="2254" w:type="dxa"/>
          </w:tcPr>
          <w:p w14:paraId="727A8EC2" w14:textId="72084192" w:rsidR="00303B00" w:rsidRDefault="00303B00">
            <w:r>
              <w:t>Size &amp; Prospects</w:t>
            </w:r>
          </w:p>
        </w:tc>
      </w:tr>
      <w:tr w:rsidR="004C14C4" w14:paraId="49857FFA" w14:textId="77777777" w:rsidTr="00DB7E80">
        <w:tc>
          <w:tcPr>
            <w:tcW w:w="9016" w:type="dxa"/>
            <w:gridSpan w:val="4"/>
          </w:tcPr>
          <w:p w14:paraId="6C35081F" w14:textId="67856F5B" w:rsidR="004C14C4" w:rsidRDefault="004C14C4">
            <w:r>
              <w:t>Finance – Banking Stocks</w:t>
            </w:r>
          </w:p>
        </w:tc>
      </w:tr>
      <w:tr w:rsidR="00303B00" w14:paraId="3743BB7D" w14:textId="77777777" w:rsidTr="00303B00">
        <w:tc>
          <w:tcPr>
            <w:tcW w:w="2254" w:type="dxa"/>
          </w:tcPr>
          <w:p w14:paraId="039BB608" w14:textId="5B5A3CF5" w:rsidR="00303B00" w:rsidRDefault="00303B00">
            <w:r>
              <w:t>HSBA.L</w:t>
            </w:r>
          </w:p>
        </w:tc>
        <w:tc>
          <w:tcPr>
            <w:tcW w:w="2254" w:type="dxa"/>
          </w:tcPr>
          <w:p w14:paraId="07A313E5" w14:textId="76BE5DF2" w:rsidR="00303B00" w:rsidRDefault="00303B00">
            <w:r>
              <w:t>Established in 1865. Initially facilitated trade over Europe and Asia. Has since expanded into UK and Europe in the retail banking wealth, private banking and investment banking divisions.</w:t>
            </w:r>
          </w:p>
        </w:tc>
        <w:tc>
          <w:tcPr>
            <w:tcW w:w="2254" w:type="dxa"/>
          </w:tcPr>
          <w:p w14:paraId="163EFA81" w14:textId="7BF684E9" w:rsidR="00303B00" w:rsidRDefault="00303B00">
            <w:r>
              <w:t>Recently announced restructuring (after investment period, therefore ignored). Focus on global asset management divisions and using technology to improve efficiency and customer service.</w:t>
            </w:r>
          </w:p>
        </w:tc>
        <w:tc>
          <w:tcPr>
            <w:tcW w:w="2254" w:type="dxa"/>
          </w:tcPr>
          <w:p w14:paraId="091CF731" w14:textId="43F6FB5B" w:rsidR="00303B00" w:rsidRDefault="00303B00">
            <w:r>
              <w:t xml:space="preserve">Very large and stable market share. Global presence with some prospects to grow further in many countries such as Australia. </w:t>
            </w:r>
            <w:r w:rsidR="00D21723">
              <w:t>However,</w:t>
            </w:r>
            <w:r>
              <w:t xml:space="preserve"> this is not within the investment horizon. </w:t>
            </w:r>
          </w:p>
        </w:tc>
      </w:tr>
      <w:tr w:rsidR="00303B00" w14:paraId="01E72129" w14:textId="77777777" w:rsidTr="00303B00">
        <w:tc>
          <w:tcPr>
            <w:tcW w:w="2254" w:type="dxa"/>
          </w:tcPr>
          <w:p w14:paraId="033644CD" w14:textId="094DC066" w:rsidR="00303B00" w:rsidRDefault="00303B00">
            <w:r>
              <w:t>BARC.L</w:t>
            </w:r>
          </w:p>
        </w:tc>
        <w:tc>
          <w:tcPr>
            <w:tcW w:w="2254" w:type="dxa"/>
          </w:tcPr>
          <w:p w14:paraId="53FA2DCF" w14:textId="0D6365C7" w:rsidR="00303B00" w:rsidRDefault="00303B00">
            <w:r>
              <w:t xml:space="preserve">Established in 1690. Initially a goldsmith banking business. Expanded to various sectors such as retail banking and investment banking. Specifically, expanded their investment banking division in north America upon the acquisition of </w:t>
            </w:r>
            <w:r>
              <w:lastRenderedPageBreak/>
              <w:t xml:space="preserve">Lehman Brothers in 2008. </w:t>
            </w:r>
          </w:p>
        </w:tc>
        <w:tc>
          <w:tcPr>
            <w:tcW w:w="2254" w:type="dxa"/>
          </w:tcPr>
          <w:p w14:paraId="3FBC4707" w14:textId="0BF0DF6D" w:rsidR="00303B00" w:rsidRDefault="00303B00">
            <w:r>
              <w:lastRenderedPageBreak/>
              <w:t xml:space="preserve">750M pound share buyback program. Heightened focus on digital banking and improved capital allocation. </w:t>
            </w:r>
          </w:p>
        </w:tc>
        <w:tc>
          <w:tcPr>
            <w:tcW w:w="2254" w:type="dxa"/>
          </w:tcPr>
          <w:p w14:paraId="34FDA672" w14:textId="5449BF98" w:rsidR="00303B00" w:rsidRDefault="00303B00">
            <w:r>
              <w:t xml:space="preserve">Large market share and relative stability. Relatively strong global presence, through room to grown. Significant investment prospects </w:t>
            </w:r>
            <w:r w:rsidR="004C14C4">
              <w:t xml:space="preserve">in short term </w:t>
            </w:r>
            <w:r>
              <w:t xml:space="preserve">due to share buyback. </w:t>
            </w:r>
          </w:p>
        </w:tc>
      </w:tr>
      <w:tr w:rsidR="00303B00" w14:paraId="2003E26D" w14:textId="77777777" w:rsidTr="00303B00">
        <w:tc>
          <w:tcPr>
            <w:tcW w:w="2254" w:type="dxa"/>
          </w:tcPr>
          <w:p w14:paraId="63DDF6A2" w14:textId="7F068D3F" w:rsidR="00303B00" w:rsidRDefault="00303B00">
            <w:r>
              <w:t>LLOY.L</w:t>
            </w:r>
          </w:p>
        </w:tc>
        <w:tc>
          <w:tcPr>
            <w:tcW w:w="2254" w:type="dxa"/>
          </w:tcPr>
          <w:p w14:paraId="554B9E3C" w14:textId="03D83AFA" w:rsidR="00303B00" w:rsidRDefault="00303B00">
            <w:r>
              <w:t>Established in 1765. Initially focussed on retail banking but has since expanded into commercial banking. Mostly present in the UK</w:t>
            </w:r>
          </w:p>
        </w:tc>
        <w:tc>
          <w:tcPr>
            <w:tcW w:w="2254" w:type="dxa"/>
          </w:tcPr>
          <w:p w14:paraId="51024787" w14:textId="78CCBA4F" w:rsidR="00303B00" w:rsidRDefault="00303B00">
            <w:r>
              <w:t xml:space="preserve">Fears of increasing default rates. Digital focus – aiming to improve efficiency and customer service.  </w:t>
            </w:r>
          </w:p>
        </w:tc>
        <w:tc>
          <w:tcPr>
            <w:tcW w:w="2254" w:type="dxa"/>
          </w:tcPr>
          <w:p w14:paraId="5F7ED6D0" w14:textId="7E4780D8" w:rsidR="00303B00" w:rsidRDefault="004C14C4">
            <w:r>
              <w:t xml:space="preserve">Medium market share. </w:t>
            </w:r>
            <w:r w:rsidR="00303B00">
              <w:t xml:space="preserve">Prospects to grow </w:t>
            </w:r>
            <w:r>
              <w:t xml:space="preserve">in counties outside of the UK, but not in the short term. </w:t>
            </w:r>
          </w:p>
        </w:tc>
      </w:tr>
      <w:tr w:rsidR="00303B00" w14:paraId="2424F0AF" w14:textId="77777777" w:rsidTr="00303B00">
        <w:tc>
          <w:tcPr>
            <w:tcW w:w="2254" w:type="dxa"/>
          </w:tcPr>
          <w:p w14:paraId="47D7E811" w14:textId="46F731B3" w:rsidR="00303B00" w:rsidRDefault="00303B00">
            <w:r>
              <w:t>STAN.L</w:t>
            </w:r>
          </w:p>
        </w:tc>
        <w:tc>
          <w:tcPr>
            <w:tcW w:w="2254" w:type="dxa"/>
          </w:tcPr>
          <w:p w14:paraId="40EEB38F" w14:textId="2A4540F2" w:rsidR="00303B00" w:rsidRDefault="004C14C4">
            <w:r>
              <w:t xml:space="preserve">Established in 1969 upon the merger of 2 banks. Initially in trade and markets, but has since expanded into wealth, corporate banking and investment banking. </w:t>
            </w:r>
          </w:p>
        </w:tc>
        <w:tc>
          <w:tcPr>
            <w:tcW w:w="2254" w:type="dxa"/>
          </w:tcPr>
          <w:p w14:paraId="206B578F" w14:textId="1FCBCCF0" w:rsidR="00303B00" w:rsidRDefault="004C14C4">
            <w:r>
              <w:t xml:space="preserve">Announced largest ever share buyback. Focus on wealth in growing markets/ economises such as Hong Kong and Singapore. </w:t>
            </w:r>
          </w:p>
        </w:tc>
        <w:tc>
          <w:tcPr>
            <w:tcW w:w="2254" w:type="dxa"/>
          </w:tcPr>
          <w:p w14:paraId="510ABDEC" w14:textId="082C7D11" w:rsidR="00303B00" w:rsidRDefault="004C14C4">
            <w:r>
              <w:t>Relatively large market share. High prospects in short term due to share buyback. High long-term prospects due to increasing presence in growing economies.</w:t>
            </w:r>
          </w:p>
        </w:tc>
      </w:tr>
      <w:tr w:rsidR="00303B00" w14:paraId="7FA6A2F2" w14:textId="77777777" w:rsidTr="00303B00">
        <w:tc>
          <w:tcPr>
            <w:tcW w:w="2254" w:type="dxa"/>
          </w:tcPr>
          <w:p w14:paraId="28CBB9CF" w14:textId="5C731F02" w:rsidR="00303B00" w:rsidRDefault="00303B00">
            <w:r>
              <w:t>NWG.L</w:t>
            </w:r>
          </w:p>
        </w:tc>
        <w:tc>
          <w:tcPr>
            <w:tcW w:w="2254" w:type="dxa"/>
          </w:tcPr>
          <w:p w14:paraId="2AA40953" w14:textId="42E6B00A" w:rsidR="00303B00" w:rsidRDefault="004C14C4">
            <w:r>
              <w:t>Founded in 1927. Initially in retail banking. Expanded into commercial and investment banking as well as wealth.</w:t>
            </w:r>
          </w:p>
        </w:tc>
        <w:tc>
          <w:tcPr>
            <w:tcW w:w="2254" w:type="dxa"/>
          </w:tcPr>
          <w:p w14:paraId="720687CC" w14:textId="02064814" w:rsidR="00303B00" w:rsidRDefault="004C14C4">
            <w:r>
              <w:t>Regulatory compliance fines. Digital focus on expansion in the UK.</w:t>
            </w:r>
          </w:p>
        </w:tc>
        <w:tc>
          <w:tcPr>
            <w:tcW w:w="2254" w:type="dxa"/>
          </w:tcPr>
          <w:p w14:paraId="7F94845B" w14:textId="23DD7657" w:rsidR="00303B00" w:rsidRDefault="004C14C4">
            <w:r>
              <w:t xml:space="preserve">Smaller prospects in the short term due to regulatory issues. </w:t>
            </w:r>
          </w:p>
        </w:tc>
      </w:tr>
      <w:tr w:rsidR="004C14C4" w14:paraId="409748EE" w14:textId="77777777" w:rsidTr="00642F9D">
        <w:tc>
          <w:tcPr>
            <w:tcW w:w="9016" w:type="dxa"/>
            <w:gridSpan w:val="4"/>
          </w:tcPr>
          <w:p w14:paraId="4175003F" w14:textId="2C10A176" w:rsidR="004C14C4" w:rsidRDefault="004C14C4">
            <w:r>
              <w:t>Finance – Private Equity Stocks</w:t>
            </w:r>
          </w:p>
        </w:tc>
      </w:tr>
      <w:tr w:rsidR="004C14C4" w14:paraId="1955BE4A" w14:textId="77777777" w:rsidTr="00303B00">
        <w:tc>
          <w:tcPr>
            <w:tcW w:w="2254" w:type="dxa"/>
          </w:tcPr>
          <w:p w14:paraId="09EA9266" w14:textId="242FCEF8" w:rsidR="004C14C4" w:rsidRDefault="004C14C4">
            <w:r>
              <w:t>III.L</w:t>
            </w:r>
          </w:p>
        </w:tc>
        <w:tc>
          <w:tcPr>
            <w:tcW w:w="2254" w:type="dxa"/>
          </w:tcPr>
          <w:p w14:paraId="06FF0749" w14:textId="0E210412" w:rsidR="004C14C4" w:rsidRDefault="004C14C4">
            <w:r>
              <w:t xml:space="preserve">Founded in 1945. Initially in private equity and venture capital but has since expanded into infrastructure investments. </w:t>
            </w:r>
          </w:p>
        </w:tc>
        <w:tc>
          <w:tcPr>
            <w:tcW w:w="2254" w:type="dxa"/>
          </w:tcPr>
          <w:p w14:paraId="00C71FCA" w14:textId="5495E02C" w:rsidR="004C14C4" w:rsidRDefault="004C14C4">
            <w:r>
              <w:t>Increased deal flow and stronger asset portfolio driving stock prices. Focus on improved capital allocation and increased capacity for VC. Focus on increase diversification in infrastructure investments.</w:t>
            </w:r>
          </w:p>
        </w:tc>
        <w:tc>
          <w:tcPr>
            <w:tcW w:w="2254" w:type="dxa"/>
          </w:tcPr>
          <w:p w14:paraId="721B388F" w14:textId="42A8D874" w:rsidR="004C14C4" w:rsidRDefault="004C14C4">
            <w:r>
              <w:t xml:space="preserve">Small market share. Strong revenue due to investor sentiment around industry and current level of deal flow. Prospects for short term growth. </w:t>
            </w:r>
          </w:p>
        </w:tc>
      </w:tr>
      <w:tr w:rsidR="004C14C4" w14:paraId="5C5C6A1D" w14:textId="77777777" w:rsidTr="00303B00">
        <w:tc>
          <w:tcPr>
            <w:tcW w:w="2254" w:type="dxa"/>
          </w:tcPr>
          <w:p w14:paraId="14E714D2" w14:textId="790841C4" w:rsidR="004C14C4" w:rsidRDefault="004C14C4">
            <w:r>
              <w:t>HGT.L</w:t>
            </w:r>
          </w:p>
        </w:tc>
        <w:tc>
          <w:tcPr>
            <w:tcW w:w="2254" w:type="dxa"/>
          </w:tcPr>
          <w:p w14:paraId="0016881F" w14:textId="779637E7" w:rsidR="004C14C4" w:rsidRDefault="004C14C4">
            <w:r>
              <w:t xml:space="preserve">Founded in 1989. Initially in private equity and venture capital. Has maintained a focus on technology and software investments. </w:t>
            </w:r>
          </w:p>
        </w:tc>
        <w:tc>
          <w:tcPr>
            <w:tcW w:w="2254" w:type="dxa"/>
          </w:tcPr>
          <w:p w14:paraId="7B70B9D7" w14:textId="0D50C88A" w:rsidR="004C14C4" w:rsidRDefault="004C14C4">
            <w:r>
              <w:t xml:space="preserve">Investments performing well upon recent AI revolution. </w:t>
            </w:r>
          </w:p>
        </w:tc>
        <w:tc>
          <w:tcPr>
            <w:tcW w:w="2254" w:type="dxa"/>
          </w:tcPr>
          <w:p w14:paraId="2E96703C" w14:textId="18627304" w:rsidR="004C14C4" w:rsidRDefault="004C14C4">
            <w:r>
              <w:t>Small market share. Prospects for short term growth with AI sector.</w:t>
            </w:r>
          </w:p>
        </w:tc>
      </w:tr>
    </w:tbl>
    <w:p w14:paraId="6AFF8C15" w14:textId="77777777" w:rsidR="00303B00" w:rsidRDefault="00303B00"/>
    <w:p w14:paraId="53CC24EA" w14:textId="0120355A" w:rsidR="0072500C" w:rsidRDefault="0072500C">
      <w:r>
        <w:t xml:space="preserve">The key </w:t>
      </w:r>
      <w:r w:rsidR="00431AF7">
        <w:t>short-term</w:t>
      </w:r>
      <w:r>
        <w:t xml:space="preserve"> risks across the finance stocks are</w:t>
      </w:r>
      <w:r w:rsidR="001E5BEC">
        <w:t xml:space="preserve"> geopolitical risks, interest rate risk and regulatory challenges. </w:t>
      </w:r>
      <w:r>
        <w:t xml:space="preserve"> </w:t>
      </w:r>
      <w:r w:rsidR="00431AF7">
        <w:t>Firms such as HSBC</w:t>
      </w:r>
    </w:p>
    <w:p w14:paraId="17D9927D" w14:textId="77777777" w:rsidR="00431AF7" w:rsidRDefault="00431AF7"/>
    <w:p w14:paraId="2EF53E84" w14:textId="42228D13" w:rsidR="0046587B" w:rsidRDefault="0046587B" w:rsidP="0046587B">
      <w:r w:rsidRPr="0046587B">
        <w:lastRenderedPageBreak/>
        <w:t>HSBC Holdings (5% weight), with its large market capitalization and international reach, offers stability. Its low dividend yield (0.35) supports the expectation of consistent, moderate returns without high yield potential, aligning with its 5% allocation for steady performance at manageable risk. Barclays (7.5% weight), with a lower dividend yield (0.11), reflects a focus on capital appreciation rather than dividends. Its large investment banking arm and global presence support the higher weight, given its potential for strong returns, albeit with some volatility. Lloyds Banking Group (1.25% weight), heavily UK-focused and retail-oriented, has a minimal dividend yield (0.01) and low return metrics. This smaller allocation reflects its limited growth prospects and high exposure to UK economic pressures, where retail banking margins may be constrained.</w:t>
      </w:r>
      <w:r>
        <w:t xml:space="preserve"> </w:t>
      </w:r>
      <w:r w:rsidRPr="0046587B">
        <w:t>Standard Chartered (7.5% weight) benefits from its exposure to high-growth emerging markets in Asia, Africa, and the Middle East, supported by a higher dividend yield (0.36). This aligns with its larger weight, balancing its higher-risk market exposure with the potential for substantial returns. NatWest Group (1.25% weight), also UK-focused, has a moderate dividend yield (0.18) and limited international exposure. Given the economic challenges in the UK, this conservative weight reflects a cautious outlook on its growth prospects. 3i Group (7.5% weight) stands out with a high dividend yield (0.86) and significant private equity holdings, making it a prime candidate for growth in alternative investments. The larger weight is justified by its potential for high returns from private equity and venture capital activities, aligning with its proven track record in growth sectors.</w:t>
      </w:r>
    </w:p>
    <w:p w14:paraId="36417D5D" w14:textId="77777777" w:rsidR="00924AA3" w:rsidRDefault="00924AA3" w:rsidP="0046587B"/>
    <w:p w14:paraId="52FC094B" w14:textId="77777777" w:rsidR="00924AA3" w:rsidRDefault="00924AA3" w:rsidP="00924AA3">
      <w:pPr>
        <w:pStyle w:val="Caption"/>
        <w:rPr>
          <w:rFonts w:ascii="Cambria" w:hAnsi="Cambria"/>
          <w:b/>
          <w:bCs/>
          <w:i w:val="0"/>
          <w:iCs w:val="0"/>
          <w:color w:val="auto"/>
          <w:sz w:val="24"/>
          <w:szCs w:val="24"/>
        </w:rPr>
      </w:pPr>
      <w:bookmarkStart w:id="0" w:name="_Ref181742555"/>
      <w:r w:rsidRPr="004043A0">
        <w:rPr>
          <w:rFonts w:ascii="Cambria" w:hAnsi="Cambria"/>
          <w:b/>
          <w:bCs/>
          <w:i w:val="0"/>
          <w:iCs w:val="0"/>
          <w:color w:val="auto"/>
          <w:sz w:val="24"/>
          <w:szCs w:val="24"/>
        </w:rPr>
        <w:t xml:space="preserve">Explanation </w:t>
      </w:r>
      <w:r w:rsidRPr="004043A0">
        <w:rPr>
          <w:rFonts w:ascii="Cambria" w:hAnsi="Cambria"/>
          <w:b/>
          <w:bCs/>
          <w:i w:val="0"/>
          <w:iCs w:val="0"/>
          <w:color w:val="auto"/>
          <w:sz w:val="24"/>
          <w:szCs w:val="24"/>
        </w:rPr>
        <w:fldChar w:fldCharType="begin"/>
      </w:r>
      <w:r w:rsidRPr="004043A0">
        <w:rPr>
          <w:rFonts w:ascii="Cambria" w:hAnsi="Cambria"/>
          <w:b/>
          <w:bCs/>
          <w:i w:val="0"/>
          <w:iCs w:val="0"/>
          <w:color w:val="auto"/>
          <w:sz w:val="24"/>
          <w:szCs w:val="24"/>
        </w:rPr>
        <w:instrText xml:space="preserve"> SEQ Explanation \* ARABIC </w:instrText>
      </w:r>
      <w:r w:rsidRPr="004043A0">
        <w:rPr>
          <w:rFonts w:ascii="Cambria" w:hAnsi="Cambria"/>
          <w:b/>
          <w:bCs/>
          <w:i w:val="0"/>
          <w:iCs w:val="0"/>
          <w:color w:val="auto"/>
          <w:sz w:val="24"/>
          <w:szCs w:val="24"/>
        </w:rPr>
        <w:fldChar w:fldCharType="separate"/>
      </w:r>
      <w:r>
        <w:rPr>
          <w:rFonts w:ascii="Cambria" w:hAnsi="Cambria"/>
          <w:b/>
          <w:bCs/>
          <w:i w:val="0"/>
          <w:iCs w:val="0"/>
          <w:noProof/>
          <w:color w:val="auto"/>
          <w:sz w:val="24"/>
          <w:szCs w:val="24"/>
        </w:rPr>
        <w:t>4</w:t>
      </w:r>
      <w:r w:rsidRPr="004043A0">
        <w:rPr>
          <w:rFonts w:ascii="Cambria" w:hAnsi="Cambria"/>
          <w:b/>
          <w:bCs/>
          <w:i w:val="0"/>
          <w:iCs w:val="0"/>
          <w:color w:val="auto"/>
          <w:sz w:val="24"/>
          <w:szCs w:val="24"/>
        </w:rPr>
        <w:fldChar w:fldCharType="end"/>
      </w:r>
      <w:bookmarkEnd w:id="0"/>
      <w:r w:rsidRPr="004043A0">
        <w:rPr>
          <w:rFonts w:ascii="Cambria" w:hAnsi="Cambria"/>
          <w:b/>
          <w:bCs/>
          <w:i w:val="0"/>
          <w:iCs w:val="0"/>
          <w:color w:val="auto"/>
          <w:sz w:val="24"/>
          <w:szCs w:val="24"/>
        </w:rPr>
        <w:t xml:space="preserve"> - Finance Stock Selections &amp; Justifications</w:t>
      </w:r>
    </w:p>
    <w:p w14:paraId="29FD55B8" w14:textId="77777777" w:rsidR="00924AA3" w:rsidRDefault="00924AA3" w:rsidP="00924AA3">
      <w:pPr>
        <w:pStyle w:val="Content"/>
        <w:spacing w:after="240"/>
      </w:pPr>
      <w:r>
        <w:t>The selected banking stocks are:</w:t>
      </w:r>
    </w:p>
    <w:tbl>
      <w:tblPr>
        <w:tblStyle w:val="PlainTable3"/>
        <w:tblW w:w="5000" w:type="pct"/>
        <w:tblLook w:val="04A0" w:firstRow="1" w:lastRow="0" w:firstColumn="1" w:lastColumn="0" w:noHBand="0" w:noVBand="1"/>
      </w:tblPr>
      <w:tblGrid>
        <w:gridCol w:w="4513"/>
        <w:gridCol w:w="4513"/>
      </w:tblGrid>
      <w:tr w:rsidR="00924AA3" w14:paraId="6DDC96CB"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76CE34A7" w14:textId="77777777" w:rsidR="00924AA3" w:rsidRPr="00F747F6" w:rsidRDefault="00924AA3" w:rsidP="00E22C6F">
            <w:pPr>
              <w:pStyle w:val="Content"/>
              <w:jc w:val="center"/>
            </w:pPr>
            <w:r w:rsidRPr="00F747F6">
              <w:t>Stock Name</w:t>
            </w:r>
          </w:p>
        </w:tc>
        <w:tc>
          <w:tcPr>
            <w:tcW w:w="2500" w:type="pct"/>
          </w:tcPr>
          <w:p w14:paraId="5FC6EF70" w14:textId="77777777" w:rsidR="00924AA3" w:rsidRPr="00F747F6"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rsidRPr="00F747F6">
              <w:t>Stock Ticker</w:t>
            </w:r>
          </w:p>
        </w:tc>
      </w:tr>
      <w:tr w:rsidR="00924AA3" w14:paraId="21F2D902"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91D44B" w14:textId="77777777" w:rsidR="00924AA3" w:rsidRPr="00900DDC" w:rsidRDefault="00924AA3" w:rsidP="00E22C6F">
            <w:pPr>
              <w:pStyle w:val="Content"/>
              <w:jc w:val="center"/>
              <w:rPr>
                <w:b w:val="0"/>
                <w:bCs w:val="0"/>
              </w:rPr>
            </w:pPr>
            <w:r w:rsidRPr="00900DDC">
              <w:rPr>
                <w:b w:val="0"/>
                <w:bCs w:val="0"/>
              </w:rPr>
              <w:t>HSBC Holdings Plc</w:t>
            </w:r>
          </w:p>
        </w:tc>
        <w:tc>
          <w:tcPr>
            <w:tcW w:w="2500" w:type="pct"/>
          </w:tcPr>
          <w:p w14:paraId="6F8A2679" w14:textId="77777777" w:rsidR="00924AA3" w:rsidRPr="00900D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900DDC">
              <w:t>HSBA.L</w:t>
            </w:r>
          </w:p>
        </w:tc>
      </w:tr>
      <w:tr w:rsidR="00924AA3" w14:paraId="0AC6F9AE" w14:textId="77777777" w:rsidTr="00E22C6F">
        <w:tc>
          <w:tcPr>
            <w:cnfStyle w:val="001000000000" w:firstRow="0" w:lastRow="0" w:firstColumn="1" w:lastColumn="0" w:oddVBand="0" w:evenVBand="0" w:oddHBand="0" w:evenHBand="0" w:firstRowFirstColumn="0" w:firstRowLastColumn="0" w:lastRowFirstColumn="0" w:lastRowLastColumn="0"/>
            <w:tcW w:w="2500" w:type="pct"/>
          </w:tcPr>
          <w:p w14:paraId="7C7BEEAD" w14:textId="77777777" w:rsidR="00924AA3" w:rsidRPr="00900DDC" w:rsidRDefault="00924AA3" w:rsidP="00E22C6F">
            <w:pPr>
              <w:pStyle w:val="Content"/>
              <w:jc w:val="center"/>
              <w:rPr>
                <w:b w:val="0"/>
                <w:bCs w:val="0"/>
              </w:rPr>
            </w:pPr>
            <w:r w:rsidRPr="00900DDC">
              <w:rPr>
                <w:b w:val="0"/>
                <w:bCs w:val="0"/>
              </w:rPr>
              <w:t>Barclays Plc</w:t>
            </w:r>
          </w:p>
        </w:tc>
        <w:tc>
          <w:tcPr>
            <w:tcW w:w="2500" w:type="pct"/>
          </w:tcPr>
          <w:p w14:paraId="39805198" w14:textId="77777777" w:rsidR="00924AA3" w:rsidRPr="00900D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900DDC">
              <w:t>BARC.L</w:t>
            </w:r>
          </w:p>
        </w:tc>
      </w:tr>
      <w:tr w:rsidR="00924AA3" w14:paraId="585402BD"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654A4D" w14:textId="77777777" w:rsidR="00924AA3" w:rsidRPr="00900DDC" w:rsidRDefault="00924AA3" w:rsidP="00E22C6F">
            <w:pPr>
              <w:pStyle w:val="Content"/>
              <w:jc w:val="center"/>
              <w:rPr>
                <w:b w:val="0"/>
                <w:bCs w:val="0"/>
              </w:rPr>
            </w:pPr>
            <w:r w:rsidRPr="00900DDC">
              <w:rPr>
                <w:b w:val="0"/>
                <w:bCs w:val="0"/>
              </w:rPr>
              <w:t>Lloyd’s Banking Group Plc</w:t>
            </w:r>
          </w:p>
        </w:tc>
        <w:tc>
          <w:tcPr>
            <w:tcW w:w="2500" w:type="pct"/>
          </w:tcPr>
          <w:p w14:paraId="5EE02764" w14:textId="77777777" w:rsidR="00924AA3" w:rsidRPr="00900D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900DDC">
              <w:t>LLOY.L</w:t>
            </w:r>
          </w:p>
        </w:tc>
      </w:tr>
      <w:tr w:rsidR="00924AA3" w14:paraId="706E6DB2" w14:textId="77777777" w:rsidTr="00E22C6F">
        <w:tc>
          <w:tcPr>
            <w:cnfStyle w:val="001000000000" w:firstRow="0" w:lastRow="0" w:firstColumn="1" w:lastColumn="0" w:oddVBand="0" w:evenVBand="0" w:oddHBand="0" w:evenHBand="0" w:firstRowFirstColumn="0" w:firstRowLastColumn="0" w:lastRowFirstColumn="0" w:lastRowLastColumn="0"/>
            <w:tcW w:w="2500" w:type="pct"/>
          </w:tcPr>
          <w:p w14:paraId="29F9FD94" w14:textId="77777777" w:rsidR="00924AA3" w:rsidRPr="00900DDC" w:rsidRDefault="00924AA3" w:rsidP="00E22C6F">
            <w:pPr>
              <w:pStyle w:val="Content"/>
              <w:jc w:val="center"/>
              <w:rPr>
                <w:b w:val="0"/>
                <w:bCs w:val="0"/>
              </w:rPr>
            </w:pPr>
            <w:r w:rsidRPr="00900DDC">
              <w:rPr>
                <w:b w:val="0"/>
                <w:bCs w:val="0"/>
              </w:rPr>
              <w:t>Standard Chartered Plc</w:t>
            </w:r>
          </w:p>
        </w:tc>
        <w:tc>
          <w:tcPr>
            <w:tcW w:w="2500" w:type="pct"/>
          </w:tcPr>
          <w:p w14:paraId="7681E656" w14:textId="77777777" w:rsidR="00924AA3" w:rsidRPr="00900D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900DDC">
              <w:t>STAN.L</w:t>
            </w:r>
          </w:p>
        </w:tc>
      </w:tr>
      <w:tr w:rsidR="00924AA3" w14:paraId="734E2272" w14:textId="77777777" w:rsidTr="00E22C6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500" w:type="pct"/>
          </w:tcPr>
          <w:p w14:paraId="57733AA0" w14:textId="77777777" w:rsidR="00924AA3" w:rsidRPr="00900DDC" w:rsidRDefault="00924AA3" w:rsidP="00E22C6F">
            <w:pPr>
              <w:pStyle w:val="Content"/>
              <w:jc w:val="center"/>
              <w:rPr>
                <w:b w:val="0"/>
                <w:bCs w:val="0"/>
              </w:rPr>
            </w:pPr>
            <w:r w:rsidRPr="00900DDC">
              <w:rPr>
                <w:b w:val="0"/>
                <w:bCs w:val="0"/>
              </w:rPr>
              <w:t>NatWest Group Plc</w:t>
            </w:r>
          </w:p>
        </w:tc>
        <w:tc>
          <w:tcPr>
            <w:tcW w:w="2500" w:type="pct"/>
          </w:tcPr>
          <w:p w14:paraId="7A9CFACA" w14:textId="77777777" w:rsidR="00924AA3" w:rsidRPr="00900D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900DDC">
              <w:t>NWG.L</w:t>
            </w:r>
          </w:p>
        </w:tc>
      </w:tr>
    </w:tbl>
    <w:p w14:paraId="178C746A" w14:textId="77777777" w:rsidR="00924AA3" w:rsidRDefault="00924AA3" w:rsidP="00924AA3">
      <w:pPr>
        <w:pStyle w:val="NoSpacing"/>
      </w:pPr>
    </w:p>
    <w:p w14:paraId="025AC9DF" w14:textId="77777777" w:rsidR="00924AA3" w:rsidRDefault="00924AA3" w:rsidP="00924AA3">
      <w:pPr>
        <w:pStyle w:val="Content"/>
        <w:spacing w:after="240"/>
      </w:pPr>
      <w:r>
        <w:t>The selected private equity stocks are:</w:t>
      </w:r>
    </w:p>
    <w:tbl>
      <w:tblPr>
        <w:tblStyle w:val="PlainTable3"/>
        <w:tblW w:w="5000" w:type="pct"/>
        <w:tblLook w:val="04A0" w:firstRow="1" w:lastRow="0" w:firstColumn="1" w:lastColumn="0" w:noHBand="0" w:noVBand="1"/>
      </w:tblPr>
      <w:tblGrid>
        <w:gridCol w:w="4513"/>
        <w:gridCol w:w="4513"/>
      </w:tblGrid>
      <w:tr w:rsidR="00924AA3" w:rsidRPr="00F747F6" w14:paraId="19263F84"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6FFF2ECD" w14:textId="77777777" w:rsidR="00924AA3" w:rsidRPr="00F747F6" w:rsidRDefault="00924AA3" w:rsidP="00E22C6F">
            <w:pPr>
              <w:pStyle w:val="Content"/>
              <w:jc w:val="center"/>
            </w:pPr>
            <w:r w:rsidRPr="00F747F6">
              <w:t>Stock Name</w:t>
            </w:r>
          </w:p>
        </w:tc>
        <w:tc>
          <w:tcPr>
            <w:tcW w:w="2500" w:type="pct"/>
          </w:tcPr>
          <w:p w14:paraId="2BB3508F" w14:textId="77777777" w:rsidR="00924AA3" w:rsidRPr="00F747F6"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rsidRPr="00F747F6">
              <w:t>Stock Ticker</w:t>
            </w:r>
          </w:p>
        </w:tc>
      </w:tr>
      <w:tr w:rsidR="00924AA3" w:rsidRPr="00900DDC" w14:paraId="6F6B40EC"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5F5BF4" w14:textId="77777777" w:rsidR="00924AA3" w:rsidRPr="00900DDC" w:rsidRDefault="00924AA3" w:rsidP="00E22C6F">
            <w:pPr>
              <w:pStyle w:val="Content"/>
              <w:jc w:val="center"/>
              <w:rPr>
                <w:b w:val="0"/>
                <w:bCs w:val="0"/>
              </w:rPr>
            </w:pPr>
            <w:r>
              <w:rPr>
                <w:b w:val="0"/>
                <w:bCs w:val="0"/>
              </w:rPr>
              <w:t>3i Group plc</w:t>
            </w:r>
          </w:p>
        </w:tc>
        <w:tc>
          <w:tcPr>
            <w:tcW w:w="2500" w:type="pct"/>
          </w:tcPr>
          <w:p w14:paraId="445797E7" w14:textId="77777777" w:rsidR="00924AA3" w:rsidRPr="00900D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III.L</w:t>
            </w:r>
          </w:p>
        </w:tc>
      </w:tr>
      <w:tr w:rsidR="00924AA3" w:rsidRPr="00900DDC" w14:paraId="18E0D922" w14:textId="77777777" w:rsidTr="00E22C6F">
        <w:tc>
          <w:tcPr>
            <w:cnfStyle w:val="001000000000" w:firstRow="0" w:lastRow="0" w:firstColumn="1" w:lastColumn="0" w:oddVBand="0" w:evenVBand="0" w:oddHBand="0" w:evenHBand="0" w:firstRowFirstColumn="0" w:firstRowLastColumn="0" w:lastRowFirstColumn="0" w:lastRowLastColumn="0"/>
            <w:tcW w:w="2500" w:type="pct"/>
          </w:tcPr>
          <w:p w14:paraId="00A68CEF" w14:textId="77777777" w:rsidR="00924AA3" w:rsidRPr="00900DDC" w:rsidRDefault="00924AA3" w:rsidP="00E22C6F">
            <w:pPr>
              <w:pStyle w:val="Content"/>
              <w:jc w:val="center"/>
              <w:rPr>
                <w:b w:val="0"/>
                <w:bCs w:val="0"/>
              </w:rPr>
            </w:pPr>
            <w:r>
              <w:rPr>
                <w:b w:val="0"/>
                <w:bCs w:val="0"/>
              </w:rPr>
              <w:t>Hg Capital trust plc</w:t>
            </w:r>
          </w:p>
        </w:tc>
        <w:tc>
          <w:tcPr>
            <w:tcW w:w="2500" w:type="pct"/>
          </w:tcPr>
          <w:p w14:paraId="10794F38" w14:textId="77777777" w:rsidR="00924AA3" w:rsidRPr="00900D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HGT.L</w:t>
            </w:r>
          </w:p>
        </w:tc>
      </w:tr>
    </w:tbl>
    <w:p w14:paraId="04F6BEC4" w14:textId="77777777" w:rsidR="00924AA3" w:rsidRDefault="00924AA3" w:rsidP="00924AA3">
      <w:pPr>
        <w:pStyle w:val="NoSpacing"/>
      </w:pPr>
    </w:p>
    <w:p w14:paraId="09011307" w14:textId="77777777" w:rsidR="00924AA3" w:rsidRDefault="00924AA3" w:rsidP="00924AA3">
      <w:pPr>
        <w:pStyle w:val="Content"/>
        <w:spacing w:after="240"/>
      </w:pPr>
      <w:r>
        <w:t xml:space="preserve">Below is some further information about each company, as well as the justification for their selection specifically. </w:t>
      </w:r>
    </w:p>
    <w:p w14:paraId="094396A7" w14:textId="77777777" w:rsidR="00924AA3" w:rsidRPr="00AC3D8C" w:rsidRDefault="00924AA3" w:rsidP="00924AA3">
      <w:pPr>
        <w:pStyle w:val="Content"/>
        <w:numPr>
          <w:ilvl w:val="0"/>
          <w:numId w:val="2"/>
        </w:numPr>
        <w:rPr>
          <w:b/>
          <w:bCs/>
        </w:rPr>
      </w:pPr>
      <w:r w:rsidRPr="00AC3D8C">
        <w:rPr>
          <w:b/>
          <w:bCs/>
        </w:rPr>
        <w:t>HSBC Holdings Plc (HSBA.L)</w:t>
      </w:r>
    </w:p>
    <w:p w14:paraId="00F728C0" w14:textId="77777777" w:rsidR="00924AA3" w:rsidRDefault="00924AA3" w:rsidP="00924AA3">
      <w:pPr>
        <w:pStyle w:val="Content"/>
        <w:spacing w:after="240"/>
      </w:pPr>
      <w:r>
        <w:lastRenderedPageBreak/>
        <w:t xml:space="preserve">Hong Kong &amp; Shanghai Banking Corporation (HSBC) was established in 1865. Initially, its primary operations involved facilitating trade between Europe and Asia. Over time, it expanded its presence in the UK and Europe, providing additional services across divisions such as wealth management, private banking and investment banking.  More recently, HSBC has announced a restructuring and consolidation of its divisions – it’s largest restructuring in over a decade. </w:t>
      </w:r>
    </w:p>
    <w:p w14:paraId="24E2FFB1" w14:textId="77777777" w:rsidR="00924AA3" w:rsidRDefault="00924AA3" w:rsidP="00924AA3">
      <w:pPr>
        <w:pStyle w:val="Content"/>
        <w:spacing w:after="240"/>
      </w:pPr>
      <w:r>
        <w:t xml:space="preserve">Regarding prospects and growth, HSBC consistently mention their strategic focus on expanding their wealth and asset management divisions globally, as well as recapturing and improving their presence in the Asian markets. They also mention capturing the AI revolution, especially in terms of operational efficiency (such as focuses on process automation) and customer service. </w:t>
      </w:r>
    </w:p>
    <w:p w14:paraId="3377F265" w14:textId="77777777" w:rsidR="00924AA3" w:rsidRDefault="00924AA3" w:rsidP="00924AA3">
      <w:pPr>
        <w:pStyle w:val="Content"/>
      </w:pPr>
      <w:r>
        <w:t>Some key measures in HSBC’s H1 2024 reporting were:</w:t>
      </w:r>
    </w:p>
    <w:p w14:paraId="1B9AE629" w14:textId="77777777" w:rsidR="00924AA3" w:rsidRDefault="00924AA3" w:rsidP="00924AA3">
      <w:pPr>
        <w:pStyle w:val="Content"/>
        <w:numPr>
          <w:ilvl w:val="0"/>
          <w:numId w:val="3"/>
        </w:numPr>
      </w:pPr>
      <w:r>
        <w:t xml:space="preserve">Pre-tax profit of $21.6bn USD, stable compared to H1 2023.  </w:t>
      </w:r>
    </w:p>
    <w:p w14:paraId="207C61BA" w14:textId="77777777" w:rsidR="00924AA3" w:rsidRDefault="00924AA3" w:rsidP="00924AA3">
      <w:pPr>
        <w:pStyle w:val="Content"/>
        <w:numPr>
          <w:ilvl w:val="0"/>
          <w:numId w:val="3"/>
        </w:numPr>
      </w:pPr>
      <w:r>
        <w:t>1% rise in net income (compared to H1 2023).</w:t>
      </w:r>
    </w:p>
    <w:p w14:paraId="5EBDE433" w14:textId="77777777" w:rsidR="00924AA3" w:rsidRDefault="00924AA3" w:rsidP="00924AA3">
      <w:pPr>
        <w:pStyle w:val="Content"/>
        <w:numPr>
          <w:ilvl w:val="0"/>
          <w:numId w:val="3"/>
        </w:numPr>
      </w:pPr>
      <w:r>
        <w:t xml:space="preserve">5% increase in operating expenses (compared to H1 2023). </w:t>
      </w:r>
    </w:p>
    <w:p w14:paraId="35E86B3E" w14:textId="77777777" w:rsidR="00924AA3" w:rsidRDefault="00924AA3" w:rsidP="00924AA3">
      <w:pPr>
        <w:pStyle w:val="Content"/>
        <w:numPr>
          <w:ilvl w:val="0"/>
          <w:numId w:val="4"/>
        </w:numPr>
      </w:pPr>
      <w:r>
        <w:t>Earnings per share (EPS) of $0.89 USD (compared to $0.86 in H1 2023).</w:t>
      </w:r>
    </w:p>
    <w:p w14:paraId="306706E3" w14:textId="77777777" w:rsidR="00924AA3" w:rsidRDefault="00924AA3" w:rsidP="00924AA3">
      <w:pPr>
        <w:pStyle w:val="Content"/>
        <w:numPr>
          <w:ilvl w:val="0"/>
          <w:numId w:val="4"/>
        </w:numPr>
      </w:pPr>
      <w:r>
        <w:t>Dividend per share of (DPS) of $0.88 USD (compared to $0.86 in H1 2023).</w:t>
      </w:r>
    </w:p>
    <w:p w14:paraId="7B7FF260" w14:textId="77777777" w:rsidR="00924AA3" w:rsidRDefault="00924AA3" w:rsidP="00924AA3">
      <w:pPr>
        <w:pStyle w:val="Content"/>
        <w:numPr>
          <w:ilvl w:val="0"/>
          <w:numId w:val="4"/>
        </w:numPr>
      </w:pPr>
      <w:r>
        <w:t>Leverage Ratio of 5.7%</w:t>
      </w:r>
    </w:p>
    <w:p w14:paraId="76824AC0" w14:textId="77777777" w:rsidR="00924AA3" w:rsidRPr="00194E10" w:rsidRDefault="00924AA3" w:rsidP="00924AA3">
      <w:pPr>
        <w:pStyle w:val="NoSpacing"/>
      </w:pPr>
    </w:p>
    <w:p w14:paraId="7F7AADF1" w14:textId="77777777" w:rsidR="00924AA3" w:rsidRPr="002A47C7" w:rsidRDefault="00924AA3" w:rsidP="00924AA3">
      <w:pPr>
        <w:pStyle w:val="Content"/>
        <w:spacing w:after="240"/>
      </w:pPr>
      <w:r>
        <w:t xml:space="preserve">These statistics showcase HSBC’s stable financial performance, improving efficiency in operations and effective debt management. Collectively, their recent reporting affirms their selection as an effective investment option for the capital growth portfolio.  </w:t>
      </w:r>
    </w:p>
    <w:p w14:paraId="2070030B" w14:textId="77777777" w:rsidR="00924AA3" w:rsidRPr="00AC3D8C" w:rsidRDefault="00924AA3" w:rsidP="00924AA3">
      <w:pPr>
        <w:pStyle w:val="Content"/>
        <w:numPr>
          <w:ilvl w:val="0"/>
          <w:numId w:val="2"/>
        </w:numPr>
        <w:rPr>
          <w:b/>
          <w:bCs/>
        </w:rPr>
      </w:pPr>
      <w:r w:rsidRPr="00AC3D8C">
        <w:rPr>
          <w:b/>
          <w:bCs/>
        </w:rPr>
        <w:t>Barclays Plc (BARC.L)</w:t>
      </w:r>
    </w:p>
    <w:p w14:paraId="043186A8" w14:textId="77777777" w:rsidR="00924AA3" w:rsidRPr="00823A8C" w:rsidRDefault="00924AA3" w:rsidP="00924AA3">
      <w:pPr>
        <w:pStyle w:val="Content"/>
        <w:spacing w:after="240"/>
      </w:pPr>
      <w:r>
        <w:t xml:space="preserve">Founded in 1690, Barclays is one of the oldest financial institutions. Initially a small goldsmith banking business, Barclays has expanded its operations to various sectors and divisions such as retail banking and investment banking specifically. After their partial acquisition of the Lehman Brothers in 2008, Barclays was able to significantly enhance their presence in the North American investment banking space, simultaneously becoming a stronger global presence. More recently, Barclays has announced a 750M pound share buyback program. Regarding prospects and growth, Barclays has showcased </w:t>
      </w:r>
      <w:r>
        <w:lastRenderedPageBreak/>
        <w:t xml:space="preserve">a focus on digital banking and improved capital allocation (especially in their investment banking division). </w:t>
      </w:r>
    </w:p>
    <w:p w14:paraId="7B077D58" w14:textId="77777777" w:rsidR="00924AA3" w:rsidRDefault="00924AA3" w:rsidP="00924AA3">
      <w:pPr>
        <w:pStyle w:val="Content"/>
      </w:pPr>
      <w:r>
        <w:t>Some key measures in Barclays’ Q2 2024 reporting were:</w:t>
      </w:r>
    </w:p>
    <w:p w14:paraId="6960A083" w14:textId="77777777" w:rsidR="00924AA3" w:rsidRDefault="00924AA3" w:rsidP="00924AA3">
      <w:pPr>
        <w:pStyle w:val="Content"/>
        <w:numPr>
          <w:ilvl w:val="0"/>
          <w:numId w:val="5"/>
        </w:numPr>
      </w:pPr>
      <w:r>
        <w:t>Pre-tax profit of $1.9bn USD (down 6% since Q2 2023).</w:t>
      </w:r>
    </w:p>
    <w:p w14:paraId="3AFAB20F" w14:textId="77777777" w:rsidR="00924AA3" w:rsidRDefault="00924AA3" w:rsidP="00924AA3">
      <w:pPr>
        <w:pStyle w:val="Content"/>
        <w:numPr>
          <w:ilvl w:val="0"/>
          <w:numId w:val="5"/>
        </w:numPr>
      </w:pPr>
      <w:r>
        <w:t>7% decrease in net income compared to Q2 2023.</w:t>
      </w:r>
    </w:p>
    <w:p w14:paraId="3E8DB594" w14:textId="77777777" w:rsidR="00924AA3" w:rsidRDefault="00924AA3" w:rsidP="00924AA3">
      <w:pPr>
        <w:pStyle w:val="Content"/>
        <w:numPr>
          <w:ilvl w:val="0"/>
          <w:numId w:val="5"/>
        </w:numPr>
      </w:pPr>
      <w:r>
        <w:t>Stable $5bn in operating expenses (down 2% compared to Q2 2023).</w:t>
      </w:r>
    </w:p>
    <w:p w14:paraId="5D7BB738" w14:textId="77777777" w:rsidR="00924AA3" w:rsidRDefault="00924AA3" w:rsidP="00924AA3">
      <w:pPr>
        <w:pStyle w:val="Content"/>
        <w:numPr>
          <w:ilvl w:val="0"/>
          <w:numId w:val="5"/>
        </w:numPr>
      </w:pPr>
      <w:r>
        <w:t>Dividend per share of (DPS) of 8.3 pence (roughly equal to Q2 2023).</w:t>
      </w:r>
    </w:p>
    <w:p w14:paraId="6E30D1FB" w14:textId="77777777" w:rsidR="00924AA3" w:rsidRDefault="00924AA3" w:rsidP="00924AA3">
      <w:pPr>
        <w:pStyle w:val="Content"/>
        <w:numPr>
          <w:ilvl w:val="0"/>
          <w:numId w:val="5"/>
        </w:numPr>
      </w:pPr>
      <w:r>
        <w:t xml:space="preserve">CET1 ratio of 13.6% (stable amount of capital, in line with targets). </w:t>
      </w:r>
    </w:p>
    <w:p w14:paraId="61F486F0" w14:textId="77777777" w:rsidR="00924AA3" w:rsidRPr="00727452" w:rsidRDefault="00924AA3" w:rsidP="00924AA3">
      <w:pPr>
        <w:pStyle w:val="NoSpacing"/>
      </w:pPr>
    </w:p>
    <w:p w14:paraId="7CE98FA8" w14:textId="77777777" w:rsidR="00924AA3" w:rsidRPr="00625B2B" w:rsidRDefault="00924AA3" w:rsidP="00924AA3">
      <w:pPr>
        <w:pStyle w:val="Content"/>
        <w:spacing w:after="240"/>
      </w:pPr>
      <w:r>
        <w:t xml:space="preserve">Whilst these statistics showcase a small decline in profitability, Barclays’ stability in DPS, healthy leverage ratio and overall strong profits showcase their resilience and performance under challenging economic conditions (in the UK). Further, their 750M pound share buyback program showcases the company’s confidence whilst simultaneously driving forward their stock price (decrease in supply of stocks). </w:t>
      </w:r>
    </w:p>
    <w:p w14:paraId="27392482" w14:textId="77777777" w:rsidR="00924AA3" w:rsidRPr="00CB1697" w:rsidRDefault="00924AA3" w:rsidP="00924AA3">
      <w:pPr>
        <w:pStyle w:val="Content"/>
        <w:numPr>
          <w:ilvl w:val="0"/>
          <w:numId w:val="2"/>
        </w:numPr>
        <w:rPr>
          <w:b/>
          <w:bCs/>
        </w:rPr>
      </w:pPr>
      <w:r>
        <w:rPr>
          <w:b/>
          <w:bCs/>
        </w:rPr>
        <w:t>Remaining Banking Stocks (LLOY.L, STAN.L, NWG.L):</w:t>
      </w:r>
    </w:p>
    <w:p w14:paraId="563A4819" w14:textId="77777777" w:rsidR="00924AA3" w:rsidRDefault="00924AA3" w:rsidP="00924AA3">
      <w:pPr>
        <w:pStyle w:val="Content"/>
      </w:pPr>
      <w:r>
        <w:t>Some key information regarding the history and prospects of each of the following banks:</w:t>
      </w:r>
    </w:p>
    <w:tbl>
      <w:tblPr>
        <w:tblStyle w:val="PlainTable3"/>
        <w:tblW w:w="5000" w:type="pct"/>
        <w:tblLook w:val="04A0" w:firstRow="1" w:lastRow="0" w:firstColumn="1" w:lastColumn="0" w:noHBand="0" w:noVBand="1"/>
      </w:tblPr>
      <w:tblGrid>
        <w:gridCol w:w="1585"/>
        <w:gridCol w:w="2029"/>
        <w:gridCol w:w="3163"/>
        <w:gridCol w:w="2249"/>
      </w:tblGrid>
      <w:tr w:rsidR="00924AA3" w14:paraId="6162B6E8" w14:textId="77777777" w:rsidTr="00E22C6F">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878" w:type="pct"/>
          </w:tcPr>
          <w:p w14:paraId="14ECBBC1" w14:textId="77777777" w:rsidR="00924AA3" w:rsidRPr="00BB28DC" w:rsidRDefault="00924AA3" w:rsidP="00E22C6F">
            <w:pPr>
              <w:pStyle w:val="Content"/>
              <w:jc w:val="left"/>
            </w:pPr>
            <w:r w:rsidRPr="00BB28DC">
              <w:t>Factor</w:t>
            </w:r>
          </w:p>
        </w:tc>
        <w:tc>
          <w:tcPr>
            <w:tcW w:w="1124" w:type="pct"/>
          </w:tcPr>
          <w:p w14:paraId="58EB9854" w14:textId="77777777" w:rsidR="00924AA3" w:rsidRPr="00BB28DC" w:rsidRDefault="00924AA3" w:rsidP="00E22C6F">
            <w:pPr>
              <w:pStyle w:val="Content"/>
              <w:jc w:val="left"/>
              <w:cnfStyle w:val="100000000000" w:firstRow="1" w:lastRow="0" w:firstColumn="0" w:lastColumn="0" w:oddVBand="0" w:evenVBand="0" w:oddHBand="0" w:evenHBand="0" w:firstRowFirstColumn="0" w:firstRowLastColumn="0" w:lastRowFirstColumn="0" w:lastRowLastColumn="0"/>
            </w:pPr>
            <w:r w:rsidRPr="00BB28DC">
              <w:t xml:space="preserve">LLOY.L </w:t>
            </w:r>
          </w:p>
        </w:tc>
        <w:tc>
          <w:tcPr>
            <w:tcW w:w="1752" w:type="pct"/>
          </w:tcPr>
          <w:p w14:paraId="613FB7B7" w14:textId="77777777" w:rsidR="00924AA3" w:rsidRPr="00BB28DC" w:rsidRDefault="00924AA3" w:rsidP="00E22C6F">
            <w:pPr>
              <w:pStyle w:val="Content"/>
              <w:jc w:val="left"/>
              <w:cnfStyle w:val="100000000000" w:firstRow="1" w:lastRow="0" w:firstColumn="0" w:lastColumn="0" w:oddVBand="0" w:evenVBand="0" w:oddHBand="0" w:evenHBand="0" w:firstRowFirstColumn="0" w:firstRowLastColumn="0" w:lastRowFirstColumn="0" w:lastRowLastColumn="0"/>
            </w:pPr>
            <w:r w:rsidRPr="00BB28DC">
              <w:t xml:space="preserve">STAN.L </w:t>
            </w:r>
          </w:p>
        </w:tc>
        <w:tc>
          <w:tcPr>
            <w:tcW w:w="1246" w:type="pct"/>
          </w:tcPr>
          <w:p w14:paraId="6477C237" w14:textId="77777777" w:rsidR="00924AA3" w:rsidRPr="00BB28DC" w:rsidRDefault="00924AA3" w:rsidP="00E22C6F">
            <w:pPr>
              <w:pStyle w:val="Content"/>
              <w:jc w:val="left"/>
              <w:cnfStyle w:val="100000000000" w:firstRow="1" w:lastRow="0" w:firstColumn="0" w:lastColumn="0" w:oddVBand="0" w:evenVBand="0" w:oddHBand="0" w:evenHBand="0" w:firstRowFirstColumn="0" w:firstRowLastColumn="0" w:lastRowFirstColumn="0" w:lastRowLastColumn="0"/>
            </w:pPr>
            <w:r w:rsidRPr="00BB28DC">
              <w:t>NWG.L</w:t>
            </w:r>
          </w:p>
        </w:tc>
      </w:tr>
      <w:tr w:rsidR="00924AA3" w14:paraId="552A8B1B" w14:textId="77777777" w:rsidTr="00E22C6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78" w:type="pct"/>
          </w:tcPr>
          <w:p w14:paraId="230FD6F2" w14:textId="77777777" w:rsidR="00924AA3" w:rsidRPr="00BB28DC" w:rsidRDefault="00924AA3" w:rsidP="00E22C6F">
            <w:pPr>
              <w:pStyle w:val="Content"/>
              <w:jc w:val="left"/>
              <w:rPr>
                <w:b w:val="0"/>
                <w:bCs w:val="0"/>
              </w:rPr>
            </w:pPr>
            <w:r w:rsidRPr="00BB28DC">
              <w:rPr>
                <w:b w:val="0"/>
                <w:bCs w:val="0"/>
              </w:rPr>
              <w:t>Year founded:</w:t>
            </w:r>
          </w:p>
        </w:tc>
        <w:tc>
          <w:tcPr>
            <w:tcW w:w="1124" w:type="pct"/>
          </w:tcPr>
          <w:p w14:paraId="31B5D4A3"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1765</w:t>
            </w:r>
          </w:p>
        </w:tc>
        <w:tc>
          <w:tcPr>
            <w:tcW w:w="1752" w:type="pct"/>
          </w:tcPr>
          <w:p w14:paraId="27AB3913"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1969 upon merger of 2 banks</w:t>
            </w:r>
          </w:p>
        </w:tc>
        <w:tc>
          <w:tcPr>
            <w:tcW w:w="1246" w:type="pct"/>
          </w:tcPr>
          <w:p w14:paraId="6EB948CB"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1727</w:t>
            </w:r>
          </w:p>
        </w:tc>
      </w:tr>
      <w:tr w:rsidR="00924AA3" w14:paraId="64184140" w14:textId="77777777" w:rsidTr="00E22C6F">
        <w:trPr>
          <w:trHeight w:val="1134"/>
        </w:trPr>
        <w:tc>
          <w:tcPr>
            <w:cnfStyle w:val="001000000000" w:firstRow="0" w:lastRow="0" w:firstColumn="1" w:lastColumn="0" w:oddVBand="0" w:evenVBand="0" w:oddHBand="0" w:evenHBand="0" w:firstRowFirstColumn="0" w:firstRowLastColumn="0" w:lastRowFirstColumn="0" w:lastRowLastColumn="0"/>
            <w:tcW w:w="878" w:type="pct"/>
          </w:tcPr>
          <w:p w14:paraId="5C277248" w14:textId="77777777" w:rsidR="00924AA3" w:rsidRPr="00BB28DC" w:rsidRDefault="00924AA3" w:rsidP="00E22C6F">
            <w:pPr>
              <w:pStyle w:val="Content"/>
              <w:jc w:val="left"/>
              <w:rPr>
                <w:b w:val="0"/>
                <w:bCs w:val="0"/>
              </w:rPr>
            </w:pPr>
            <w:r w:rsidRPr="00BB28DC">
              <w:rPr>
                <w:b w:val="0"/>
                <w:bCs w:val="0"/>
              </w:rPr>
              <w:t>Initial primary division:</w:t>
            </w:r>
          </w:p>
        </w:tc>
        <w:tc>
          <w:tcPr>
            <w:tcW w:w="1124" w:type="pct"/>
          </w:tcPr>
          <w:p w14:paraId="70582E70"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Retail Banking</w:t>
            </w:r>
          </w:p>
        </w:tc>
        <w:tc>
          <w:tcPr>
            <w:tcW w:w="1752" w:type="pct"/>
          </w:tcPr>
          <w:p w14:paraId="01FA6951"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Trade and Markets</w:t>
            </w:r>
          </w:p>
        </w:tc>
        <w:tc>
          <w:tcPr>
            <w:tcW w:w="1246" w:type="pct"/>
          </w:tcPr>
          <w:p w14:paraId="7EA6E7D1"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Retail Banking</w:t>
            </w:r>
          </w:p>
        </w:tc>
      </w:tr>
      <w:tr w:rsidR="00924AA3" w14:paraId="499A460F" w14:textId="77777777" w:rsidTr="00E22C6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78" w:type="pct"/>
          </w:tcPr>
          <w:p w14:paraId="118C1CA1" w14:textId="77777777" w:rsidR="00924AA3" w:rsidRPr="00BB28DC" w:rsidRDefault="00924AA3" w:rsidP="00E22C6F">
            <w:pPr>
              <w:pStyle w:val="Content"/>
              <w:jc w:val="left"/>
              <w:rPr>
                <w:b w:val="0"/>
                <w:bCs w:val="0"/>
              </w:rPr>
            </w:pPr>
            <w:r w:rsidRPr="00BB28DC">
              <w:rPr>
                <w:b w:val="0"/>
                <w:bCs w:val="0"/>
              </w:rPr>
              <w:t>Expanded into divisions:</w:t>
            </w:r>
          </w:p>
        </w:tc>
        <w:tc>
          <w:tcPr>
            <w:tcW w:w="1124" w:type="pct"/>
          </w:tcPr>
          <w:p w14:paraId="473300F0"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Commercial Banking</w:t>
            </w:r>
          </w:p>
        </w:tc>
        <w:tc>
          <w:tcPr>
            <w:tcW w:w="1752" w:type="pct"/>
          </w:tcPr>
          <w:p w14:paraId="0AB7D6BA"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Wealth, Corporate Banking, Investment Banking</w:t>
            </w:r>
          </w:p>
        </w:tc>
        <w:tc>
          <w:tcPr>
            <w:tcW w:w="1246" w:type="pct"/>
          </w:tcPr>
          <w:p w14:paraId="49B54163"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Commercial Banking, Investment Banking, Wealth</w:t>
            </w:r>
          </w:p>
        </w:tc>
      </w:tr>
      <w:tr w:rsidR="00924AA3" w14:paraId="5FACD222" w14:textId="77777777" w:rsidTr="00E22C6F">
        <w:trPr>
          <w:trHeight w:val="1134"/>
        </w:trPr>
        <w:tc>
          <w:tcPr>
            <w:cnfStyle w:val="001000000000" w:firstRow="0" w:lastRow="0" w:firstColumn="1" w:lastColumn="0" w:oddVBand="0" w:evenVBand="0" w:oddHBand="0" w:evenHBand="0" w:firstRowFirstColumn="0" w:firstRowLastColumn="0" w:lastRowFirstColumn="0" w:lastRowLastColumn="0"/>
            <w:tcW w:w="878" w:type="pct"/>
          </w:tcPr>
          <w:p w14:paraId="3E7E9826" w14:textId="77777777" w:rsidR="00924AA3" w:rsidRPr="00BB28DC" w:rsidRDefault="00924AA3" w:rsidP="00E22C6F">
            <w:pPr>
              <w:pStyle w:val="Content"/>
              <w:jc w:val="left"/>
              <w:rPr>
                <w:b w:val="0"/>
                <w:bCs w:val="0"/>
              </w:rPr>
            </w:pPr>
            <w:r w:rsidRPr="00BB28DC">
              <w:rPr>
                <w:b w:val="0"/>
                <w:bCs w:val="0"/>
              </w:rPr>
              <w:t>Global presence:</w:t>
            </w:r>
          </w:p>
        </w:tc>
        <w:tc>
          <w:tcPr>
            <w:tcW w:w="1124" w:type="pct"/>
          </w:tcPr>
          <w:p w14:paraId="199FB676"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Mostly UK</w:t>
            </w:r>
          </w:p>
        </w:tc>
        <w:tc>
          <w:tcPr>
            <w:tcW w:w="1752" w:type="pct"/>
          </w:tcPr>
          <w:p w14:paraId="1F277960"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Strong presence in the UK, Asia, Middle East and Africa</w:t>
            </w:r>
          </w:p>
        </w:tc>
        <w:tc>
          <w:tcPr>
            <w:tcW w:w="1246" w:type="pct"/>
          </w:tcPr>
          <w:p w14:paraId="48682DAB"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Mostly UK</w:t>
            </w:r>
          </w:p>
        </w:tc>
      </w:tr>
      <w:tr w:rsidR="00924AA3" w14:paraId="181721DB" w14:textId="77777777" w:rsidTr="00E22C6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78" w:type="pct"/>
          </w:tcPr>
          <w:p w14:paraId="04065A77" w14:textId="77777777" w:rsidR="00924AA3" w:rsidRPr="00BB28DC" w:rsidRDefault="00924AA3" w:rsidP="00E22C6F">
            <w:pPr>
              <w:pStyle w:val="Content"/>
              <w:jc w:val="left"/>
              <w:rPr>
                <w:b w:val="0"/>
                <w:bCs w:val="0"/>
              </w:rPr>
            </w:pPr>
            <w:r w:rsidRPr="00BB28DC">
              <w:rPr>
                <w:b w:val="0"/>
                <w:bCs w:val="0"/>
              </w:rPr>
              <w:lastRenderedPageBreak/>
              <w:t>Recent News:</w:t>
            </w:r>
          </w:p>
        </w:tc>
        <w:tc>
          <w:tcPr>
            <w:tcW w:w="1124" w:type="pct"/>
          </w:tcPr>
          <w:p w14:paraId="02C9413B"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Fears of increased default rates</w:t>
            </w:r>
          </w:p>
        </w:tc>
        <w:tc>
          <w:tcPr>
            <w:tcW w:w="1752" w:type="pct"/>
          </w:tcPr>
          <w:p w14:paraId="7DD8182C"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 xml:space="preserve">Focus on wealth in Asia. Strong growth in Asia and middle east, as well as growing economies. </w:t>
            </w:r>
          </w:p>
        </w:tc>
        <w:tc>
          <w:tcPr>
            <w:tcW w:w="1246" w:type="pct"/>
          </w:tcPr>
          <w:p w14:paraId="6624427A"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Regulatory compliance fines.</w:t>
            </w:r>
          </w:p>
        </w:tc>
      </w:tr>
      <w:tr w:rsidR="00924AA3" w14:paraId="2EA8FFED" w14:textId="77777777" w:rsidTr="00E22C6F">
        <w:trPr>
          <w:trHeight w:val="1134"/>
        </w:trPr>
        <w:tc>
          <w:tcPr>
            <w:cnfStyle w:val="001000000000" w:firstRow="0" w:lastRow="0" w:firstColumn="1" w:lastColumn="0" w:oddVBand="0" w:evenVBand="0" w:oddHBand="0" w:evenHBand="0" w:firstRowFirstColumn="0" w:firstRowLastColumn="0" w:lastRowFirstColumn="0" w:lastRowLastColumn="0"/>
            <w:tcW w:w="878" w:type="pct"/>
          </w:tcPr>
          <w:p w14:paraId="4A7A98BD" w14:textId="77777777" w:rsidR="00924AA3" w:rsidRPr="00BB28DC" w:rsidRDefault="00924AA3" w:rsidP="00E22C6F">
            <w:pPr>
              <w:pStyle w:val="Content"/>
              <w:jc w:val="left"/>
              <w:rPr>
                <w:b w:val="0"/>
                <w:bCs w:val="0"/>
              </w:rPr>
            </w:pPr>
            <w:r w:rsidRPr="00BB28DC">
              <w:rPr>
                <w:b w:val="0"/>
                <w:bCs w:val="0"/>
              </w:rPr>
              <w:t>Growth Prospects:</w:t>
            </w:r>
          </w:p>
        </w:tc>
        <w:tc>
          <w:tcPr>
            <w:tcW w:w="1124" w:type="pct"/>
          </w:tcPr>
          <w:p w14:paraId="5C425DC1"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Digital focus. Focus on expansion in UK. </w:t>
            </w:r>
          </w:p>
        </w:tc>
        <w:tc>
          <w:tcPr>
            <w:tcW w:w="1752" w:type="pct"/>
          </w:tcPr>
          <w:p w14:paraId="79139FCF"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Focus on growing economies/ markets such as Hong Kong and Singapore. Announced a $2.7bn share buyback. </w:t>
            </w:r>
          </w:p>
        </w:tc>
        <w:tc>
          <w:tcPr>
            <w:tcW w:w="1246" w:type="pct"/>
          </w:tcPr>
          <w:p w14:paraId="00E6BB38"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Digital focus. Focus on expansion in UK.</w:t>
            </w:r>
          </w:p>
        </w:tc>
      </w:tr>
    </w:tbl>
    <w:p w14:paraId="246F03DD" w14:textId="77777777" w:rsidR="00924AA3" w:rsidRDefault="00924AA3" w:rsidP="00924AA3">
      <w:pPr>
        <w:pStyle w:val="NoSpacing"/>
      </w:pPr>
    </w:p>
    <w:p w14:paraId="51F3EF51" w14:textId="77777777" w:rsidR="00924AA3" w:rsidRDefault="00924AA3" w:rsidP="00924AA3">
      <w:pPr>
        <w:pStyle w:val="Content"/>
      </w:pPr>
      <w:r>
        <w:t>Some key measures in their H1 2024 (compared to H1 2023) reporting were:</w:t>
      </w:r>
    </w:p>
    <w:tbl>
      <w:tblPr>
        <w:tblStyle w:val="PlainTable3"/>
        <w:tblW w:w="5000" w:type="pct"/>
        <w:tblLook w:val="04A0" w:firstRow="1" w:lastRow="0" w:firstColumn="1" w:lastColumn="0" w:noHBand="0" w:noVBand="1"/>
      </w:tblPr>
      <w:tblGrid>
        <w:gridCol w:w="4040"/>
        <w:gridCol w:w="1641"/>
        <w:gridCol w:w="1693"/>
        <w:gridCol w:w="1652"/>
      </w:tblGrid>
      <w:tr w:rsidR="00924AA3" w14:paraId="0FF15BBF"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pct"/>
          </w:tcPr>
          <w:p w14:paraId="1630D733" w14:textId="77777777" w:rsidR="00924AA3" w:rsidRDefault="00924AA3" w:rsidP="00E22C6F">
            <w:pPr>
              <w:pStyle w:val="Content"/>
              <w:jc w:val="center"/>
            </w:pPr>
            <w:r>
              <w:t>Metric</w:t>
            </w:r>
          </w:p>
        </w:tc>
        <w:tc>
          <w:tcPr>
            <w:tcW w:w="909" w:type="pct"/>
          </w:tcPr>
          <w:p w14:paraId="6ABC765F" w14:textId="77777777" w:rsidR="00924AA3"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t>LLOY.L</w:t>
            </w:r>
          </w:p>
        </w:tc>
        <w:tc>
          <w:tcPr>
            <w:tcW w:w="938" w:type="pct"/>
          </w:tcPr>
          <w:p w14:paraId="5B161937" w14:textId="77777777" w:rsidR="00924AA3"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t>STAN.L</w:t>
            </w:r>
          </w:p>
        </w:tc>
        <w:tc>
          <w:tcPr>
            <w:tcW w:w="916" w:type="pct"/>
          </w:tcPr>
          <w:p w14:paraId="79D232BC" w14:textId="77777777" w:rsidR="00924AA3"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t>NWG.L</w:t>
            </w:r>
          </w:p>
        </w:tc>
      </w:tr>
      <w:tr w:rsidR="00924AA3" w14:paraId="78E62C52"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pct"/>
          </w:tcPr>
          <w:p w14:paraId="39597532" w14:textId="77777777" w:rsidR="00924AA3" w:rsidRPr="00BB28DC" w:rsidRDefault="00924AA3" w:rsidP="00E22C6F">
            <w:pPr>
              <w:pStyle w:val="Content"/>
              <w:jc w:val="center"/>
              <w:rPr>
                <w:b w:val="0"/>
                <w:bCs w:val="0"/>
              </w:rPr>
            </w:pPr>
            <w:r w:rsidRPr="00BB28DC">
              <w:rPr>
                <w:b w:val="0"/>
                <w:bCs w:val="0"/>
              </w:rPr>
              <w:t>Pretax profit</w:t>
            </w:r>
          </w:p>
        </w:tc>
        <w:tc>
          <w:tcPr>
            <w:tcW w:w="909" w:type="pct"/>
          </w:tcPr>
          <w:p w14:paraId="37F1CB97"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-2%</w:t>
            </w:r>
          </w:p>
        </w:tc>
        <w:tc>
          <w:tcPr>
            <w:tcW w:w="938" w:type="pct"/>
          </w:tcPr>
          <w:p w14:paraId="521C442F"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+20%</w:t>
            </w:r>
          </w:p>
        </w:tc>
        <w:tc>
          <w:tcPr>
            <w:tcW w:w="916" w:type="pct"/>
          </w:tcPr>
          <w:p w14:paraId="2170A13C"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-8%</w:t>
            </w:r>
          </w:p>
        </w:tc>
      </w:tr>
      <w:tr w:rsidR="00924AA3" w14:paraId="33A1683E" w14:textId="77777777" w:rsidTr="00E22C6F">
        <w:tc>
          <w:tcPr>
            <w:cnfStyle w:val="001000000000" w:firstRow="0" w:lastRow="0" w:firstColumn="1" w:lastColumn="0" w:oddVBand="0" w:evenVBand="0" w:oddHBand="0" w:evenHBand="0" w:firstRowFirstColumn="0" w:firstRowLastColumn="0" w:lastRowFirstColumn="0" w:lastRowLastColumn="0"/>
            <w:tcW w:w="2238" w:type="pct"/>
          </w:tcPr>
          <w:p w14:paraId="313F4877" w14:textId="77777777" w:rsidR="00924AA3" w:rsidRPr="00BB28DC" w:rsidRDefault="00924AA3" w:rsidP="00E22C6F">
            <w:pPr>
              <w:pStyle w:val="Content"/>
              <w:jc w:val="center"/>
              <w:rPr>
                <w:b w:val="0"/>
                <w:bCs w:val="0"/>
              </w:rPr>
            </w:pPr>
            <w:r w:rsidRPr="00BB28DC">
              <w:rPr>
                <w:b w:val="0"/>
                <w:bCs w:val="0"/>
              </w:rPr>
              <w:t>Net Income</w:t>
            </w:r>
          </w:p>
        </w:tc>
        <w:tc>
          <w:tcPr>
            <w:tcW w:w="909" w:type="pct"/>
          </w:tcPr>
          <w:p w14:paraId="63CBCEAD"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-9%</w:t>
            </w:r>
          </w:p>
        </w:tc>
        <w:tc>
          <w:tcPr>
            <w:tcW w:w="938" w:type="pct"/>
          </w:tcPr>
          <w:p w14:paraId="1CC4ADB3"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+10%</w:t>
            </w:r>
          </w:p>
        </w:tc>
        <w:tc>
          <w:tcPr>
            <w:tcW w:w="916" w:type="pct"/>
          </w:tcPr>
          <w:p w14:paraId="40486041"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w:t>
            </w:r>
          </w:p>
        </w:tc>
      </w:tr>
      <w:tr w:rsidR="00924AA3" w14:paraId="7951AD62"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pct"/>
          </w:tcPr>
          <w:p w14:paraId="5228E911" w14:textId="77777777" w:rsidR="00924AA3" w:rsidRPr="00BB28DC" w:rsidRDefault="00924AA3" w:rsidP="00E22C6F">
            <w:pPr>
              <w:pStyle w:val="Content"/>
              <w:jc w:val="center"/>
              <w:rPr>
                <w:b w:val="0"/>
                <w:bCs w:val="0"/>
              </w:rPr>
            </w:pPr>
            <w:r w:rsidRPr="00BB28DC">
              <w:rPr>
                <w:b w:val="0"/>
                <w:bCs w:val="0"/>
              </w:rPr>
              <w:t>Operating Expenses</w:t>
            </w:r>
          </w:p>
        </w:tc>
        <w:tc>
          <w:tcPr>
            <w:tcW w:w="909" w:type="pct"/>
          </w:tcPr>
          <w:p w14:paraId="06820327"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+14%</w:t>
            </w:r>
          </w:p>
        </w:tc>
        <w:tc>
          <w:tcPr>
            <w:tcW w:w="938" w:type="pct"/>
          </w:tcPr>
          <w:p w14:paraId="44BF97B4"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+6%</w:t>
            </w:r>
          </w:p>
        </w:tc>
        <w:tc>
          <w:tcPr>
            <w:tcW w:w="916" w:type="pct"/>
          </w:tcPr>
          <w:p w14:paraId="052BB880"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+5%</w:t>
            </w:r>
          </w:p>
        </w:tc>
      </w:tr>
      <w:tr w:rsidR="00924AA3" w14:paraId="18017194" w14:textId="77777777" w:rsidTr="00E22C6F">
        <w:tc>
          <w:tcPr>
            <w:cnfStyle w:val="001000000000" w:firstRow="0" w:lastRow="0" w:firstColumn="1" w:lastColumn="0" w:oddVBand="0" w:evenVBand="0" w:oddHBand="0" w:evenHBand="0" w:firstRowFirstColumn="0" w:firstRowLastColumn="0" w:lastRowFirstColumn="0" w:lastRowLastColumn="0"/>
            <w:tcW w:w="2238" w:type="pct"/>
          </w:tcPr>
          <w:p w14:paraId="4D759338" w14:textId="77777777" w:rsidR="00924AA3" w:rsidRPr="00BB28DC" w:rsidRDefault="00924AA3" w:rsidP="00E22C6F">
            <w:pPr>
              <w:pStyle w:val="Content"/>
              <w:jc w:val="center"/>
              <w:rPr>
                <w:b w:val="0"/>
                <w:bCs w:val="0"/>
              </w:rPr>
            </w:pPr>
            <w:r w:rsidRPr="00BB28DC">
              <w:rPr>
                <w:b w:val="0"/>
                <w:bCs w:val="0"/>
              </w:rPr>
              <w:t>EPS</w:t>
            </w:r>
          </w:p>
        </w:tc>
        <w:tc>
          <w:tcPr>
            <w:tcW w:w="909" w:type="pct"/>
          </w:tcPr>
          <w:p w14:paraId="329DA6AF"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-13%</w:t>
            </w:r>
          </w:p>
        </w:tc>
        <w:tc>
          <w:tcPr>
            <w:tcW w:w="938" w:type="pct"/>
          </w:tcPr>
          <w:p w14:paraId="65104B28"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+31%</w:t>
            </w:r>
          </w:p>
        </w:tc>
        <w:tc>
          <w:tcPr>
            <w:tcW w:w="916" w:type="pct"/>
          </w:tcPr>
          <w:p w14:paraId="3D203797"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+2%</w:t>
            </w:r>
          </w:p>
        </w:tc>
      </w:tr>
      <w:tr w:rsidR="00924AA3" w14:paraId="4C2842F0"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pct"/>
          </w:tcPr>
          <w:p w14:paraId="0A6EE674" w14:textId="77777777" w:rsidR="00924AA3" w:rsidRPr="00BB28DC" w:rsidRDefault="00924AA3" w:rsidP="00E22C6F">
            <w:pPr>
              <w:pStyle w:val="Content"/>
              <w:jc w:val="center"/>
              <w:rPr>
                <w:b w:val="0"/>
                <w:bCs w:val="0"/>
              </w:rPr>
            </w:pPr>
            <w:r w:rsidRPr="00BB28DC">
              <w:rPr>
                <w:b w:val="0"/>
                <w:bCs w:val="0"/>
              </w:rPr>
              <w:t>DPS</w:t>
            </w:r>
          </w:p>
        </w:tc>
        <w:tc>
          <w:tcPr>
            <w:tcW w:w="909" w:type="pct"/>
          </w:tcPr>
          <w:p w14:paraId="5B8B9FA5"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+15%</w:t>
            </w:r>
          </w:p>
        </w:tc>
        <w:tc>
          <w:tcPr>
            <w:tcW w:w="938" w:type="pct"/>
          </w:tcPr>
          <w:p w14:paraId="16785CED"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+50%</w:t>
            </w:r>
          </w:p>
        </w:tc>
        <w:tc>
          <w:tcPr>
            <w:tcW w:w="916" w:type="pct"/>
          </w:tcPr>
          <w:p w14:paraId="2291BDBA" w14:textId="77777777" w:rsidR="00924AA3"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t>+4%</w:t>
            </w:r>
          </w:p>
        </w:tc>
      </w:tr>
      <w:tr w:rsidR="00924AA3" w14:paraId="4B9C755E" w14:textId="77777777" w:rsidTr="00E22C6F">
        <w:tc>
          <w:tcPr>
            <w:cnfStyle w:val="001000000000" w:firstRow="0" w:lastRow="0" w:firstColumn="1" w:lastColumn="0" w:oddVBand="0" w:evenVBand="0" w:oddHBand="0" w:evenHBand="0" w:firstRowFirstColumn="0" w:firstRowLastColumn="0" w:lastRowFirstColumn="0" w:lastRowLastColumn="0"/>
            <w:tcW w:w="2238" w:type="pct"/>
          </w:tcPr>
          <w:p w14:paraId="3F9CDE22" w14:textId="77777777" w:rsidR="00924AA3" w:rsidRPr="00BB28DC" w:rsidRDefault="00924AA3" w:rsidP="00E22C6F">
            <w:pPr>
              <w:pStyle w:val="Content"/>
              <w:jc w:val="center"/>
              <w:rPr>
                <w:b w:val="0"/>
                <w:bCs w:val="0"/>
              </w:rPr>
            </w:pPr>
            <w:r w:rsidRPr="00BB28DC">
              <w:rPr>
                <w:b w:val="0"/>
                <w:bCs w:val="0"/>
              </w:rPr>
              <w:t>CET1 Ratio</w:t>
            </w:r>
          </w:p>
        </w:tc>
        <w:tc>
          <w:tcPr>
            <w:tcW w:w="909" w:type="pct"/>
          </w:tcPr>
          <w:p w14:paraId="00029C3E"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14.1%</w:t>
            </w:r>
          </w:p>
        </w:tc>
        <w:tc>
          <w:tcPr>
            <w:tcW w:w="938" w:type="pct"/>
          </w:tcPr>
          <w:p w14:paraId="7F309A7C"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14.6%</w:t>
            </w:r>
          </w:p>
        </w:tc>
        <w:tc>
          <w:tcPr>
            <w:tcW w:w="916" w:type="pct"/>
          </w:tcPr>
          <w:p w14:paraId="06A38E73" w14:textId="77777777" w:rsidR="00924AA3"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t>11.4%</w:t>
            </w:r>
          </w:p>
        </w:tc>
      </w:tr>
    </w:tbl>
    <w:p w14:paraId="4C4F7BB4" w14:textId="77777777" w:rsidR="00924AA3" w:rsidRPr="00CB1697" w:rsidRDefault="00924AA3" w:rsidP="00924AA3">
      <w:pPr>
        <w:pStyle w:val="Content"/>
        <w:spacing w:after="240"/>
      </w:pPr>
    </w:p>
    <w:p w14:paraId="20497917" w14:textId="77777777" w:rsidR="00924AA3" w:rsidRPr="00AD71B9" w:rsidRDefault="00924AA3" w:rsidP="00924AA3">
      <w:pPr>
        <w:pStyle w:val="Content"/>
        <w:spacing w:after="240"/>
      </w:pPr>
      <w:r>
        <w:t xml:space="preserve">Standard chartered represent strong investment opportunities due to their strong financial performance (profits, income and expenses). Furthermore, Standard Charterer’s expansion into economies such as Hong Kong, Singapore and the Middle East demonstrates substantial potential for future growth. Whilst NatWest Group and Lloyd’s benefit from the high margins in their lending business, they struggle with regulation regarding potential delinquency rates. Regardless the companies represent an investment option due to their significant presence in the UK retail banking sector (especially for their current size). </w:t>
      </w:r>
    </w:p>
    <w:p w14:paraId="3DB732E2" w14:textId="77777777" w:rsidR="00924AA3" w:rsidRDefault="00924AA3" w:rsidP="00924AA3">
      <w:pPr>
        <w:pStyle w:val="Content"/>
        <w:numPr>
          <w:ilvl w:val="0"/>
          <w:numId w:val="2"/>
        </w:numPr>
        <w:rPr>
          <w:b/>
          <w:bCs/>
        </w:rPr>
      </w:pPr>
      <w:r w:rsidRPr="00EB03C8">
        <w:rPr>
          <w:b/>
          <w:bCs/>
        </w:rPr>
        <w:t>Private Equity Stocks</w:t>
      </w:r>
      <w:r>
        <w:rPr>
          <w:b/>
          <w:bCs/>
        </w:rPr>
        <w:t xml:space="preserve"> (III.L &amp; HGT.L)</w:t>
      </w:r>
      <w:r w:rsidRPr="00EB03C8">
        <w:rPr>
          <w:b/>
          <w:bCs/>
        </w:rPr>
        <w:t>:</w:t>
      </w:r>
    </w:p>
    <w:p w14:paraId="3827E58A" w14:textId="77777777" w:rsidR="00924AA3" w:rsidRDefault="00924AA3" w:rsidP="00924AA3">
      <w:pPr>
        <w:pStyle w:val="Content"/>
      </w:pPr>
      <w:r>
        <w:t>Some key information regarding the history and prospects of each of the following banks:</w:t>
      </w:r>
    </w:p>
    <w:tbl>
      <w:tblPr>
        <w:tblStyle w:val="PlainTable3"/>
        <w:tblW w:w="9015" w:type="dxa"/>
        <w:tblLook w:val="04A0" w:firstRow="1" w:lastRow="0" w:firstColumn="1" w:lastColumn="0" w:noHBand="0" w:noVBand="1"/>
      </w:tblPr>
      <w:tblGrid>
        <w:gridCol w:w="3005"/>
        <w:gridCol w:w="3005"/>
        <w:gridCol w:w="3005"/>
      </w:tblGrid>
      <w:tr w:rsidR="00924AA3" w14:paraId="1196FD0A" w14:textId="77777777" w:rsidTr="00E22C6F">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3005" w:type="dxa"/>
          </w:tcPr>
          <w:p w14:paraId="6D9DA603" w14:textId="77777777" w:rsidR="00924AA3" w:rsidRPr="00BB28DC" w:rsidRDefault="00924AA3" w:rsidP="00E22C6F">
            <w:pPr>
              <w:pStyle w:val="Content"/>
              <w:jc w:val="left"/>
            </w:pPr>
            <w:r w:rsidRPr="00BB28DC">
              <w:t>Factor</w:t>
            </w:r>
          </w:p>
        </w:tc>
        <w:tc>
          <w:tcPr>
            <w:tcW w:w="3005" w:type="dxa"/>
          </w:tcPr>
          <w:p w14:paraId="53F6BAD9" w14:textId="77777777" w:rsidR="00924AA3" w:rsidRPr="00BB28DC" w:rsidRDefault="00924AA3" w:rsidP="00E22C6F">
            <w:pPr>
              <w:pStyle w:val="Content"/>
              <w:jc w:val="left"/>
              <w:cnfStyle w:val="100000000000" w:firstRow="1" w:lastRow="0" w:firstColumn="0" w:lastColumn="0" w:oddVBand="0" w:evenVBand="0" w:oddHBand="0" w:evenHBand="0" w:firstRowFirstColumn="0" w:firstRowLastColumn="0" w:lastRowFirstColumn="0" w:lastRowLastColumn="0"/>
            </w:pPr>
            <w:r w:rsidRPr="00BB28DC">
              <w:t>III.L</w:t>
            </w:r>
          </w:p>
        </w:tc>
        <w:tc>
          <w:tcPr>
            <w:tcW w:w="3005" w:type="dxa"/>
          </w:tcPr>
          <w:p w14:paraId="3B6AF71E" w14:textId="77777777" w:rsidR="00924AA3" w:rsidRPr="00BB28DC" w:rsidRDefault="00924AA3" w:rsidP="00E22C6F">
            <w:pPr>
              <w:pStyle w:val="Content"/>
              <w:jc w:val="left"/>
              <w:cnfStyle w:val="100000000000" w:firstRow="1" w:lastRow="0" w:firstColumn="0" w:lastColumn="0" w:oddVBand="0" w:evenVBand="0" w:oddHBand="0" w:evenHBand="0" w:firstRowFirstColumn="0" w:firstRowLastColumn="0" w:lastRowFirstColumn="0" w:lastRowLastColumn="0"/>
            </w:pPr>
            <w:r w:rsidRPr="00BB28DC">
              <w:t>HGT.L</w:t>
            </w:r>
          </w:p>
        </w:tc>
      </w:tr>
      <w:tr w:rsidR="00924AA3" w14:paraId="7B5D8E31"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761284" w14:textId="77777777" w:rsidR="00924AA3" w:rsidRPr="00BB28DC" w:rsidRDefault="00924AA3" w:rsidP="00E22C6F">
            <w:pPr>
              <w:pStyle w:val="Content"/>
              <w:jc w:val="left"/>
              <w:rPr>
                <w:b w:val="0"/>
                <w:bCs w:val="0"/>
              </w:rPr>
            </w:pPr>
            <w:r w:rsidRPr="00BB28DC">
              <w:rPr>
                <w:b w:val="0"/>
                <w:bCs w:val="0"/>
              </w:rPr>
              <w:t>Year founded:</w:t>
            </w:r>
          </w:p>
        </w:tc>
        <w:tc>
          <w:tcPr>
            <w:tcW w:w="3005" w:type="dxa"/>
          </w:tcPr>
          <w:p w14:paraId="14B14067"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1945</w:t>
            </w:r>
          </w:p>
        </w:tc>
        <w:tc>
          <w:tcPr>
            <w:tcW w:w="3005" w:type="dxa"/>
          </w:tcPr>
          <w:p w14:paraId="6F0058DA"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1989</w:t>
            </w:r>
          </w:p>
        </w:tc>
      </w:tr>
      <w:tr w:rsidR="00924AA3" w14:paraId="4EBD1370" w14:textId="77777777" w:rsidTr="00E22C6F">
        <w:tc>
          <w:tcPr>
            <w:cnfStyle w:val="001000000000" w:firstRow="0" w:lastRow="0" w:firstColumn="1" w:lastColumn="0" w:oddVBand="0" w:evenVBand="0" w:oddHBand="0" w:evenHBand="0" w:firstRowFirstColumn="0" w:firstRowLastColumn="0" w:lastRowFirstColumn="0" w:lastRowLastColumn="0"/>
            <w:tcW w:w="3005" w:type="dxa"/>
          </w:tcPr>
          <w:p w14:paraId="4F24D653" w14:textId="77777777" w:rsidR="00924AA3" w:rsidRPr="00BB28DC" w:rsidRDefault="00924AA3" w:rsidP="00E22C6F">
            <w:pPr>
              <w:pStyle w:val="Content"/>
              <w:jc w:val="left"/>
              <w:rPr>
                <w:b w:val="0"/>
                <w:bCs w:val="0"/>
              </w:rPr>
            </w:pPr>
            <w:r w:rsidRPr="00BB28DC">
              <w:rPr>
                <w:b w:val="0"/>
                <w:bCs w:val="0"/>
              </w:rPr>
              <w:lastRenderedPageBreak/>
              <w:t>Initial primary division:</w:t>
            </w:r>
          </w:p>
        </w:tc>
        <w:tc>
          <w:tcPr>
            <w:tcW w:w="3005" w:type="dxa"/>
          </w:tcPr>
          <w:p w14:paraId="533F16FA"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Private Equity &amp; VC.</w:t>
            </w:r>
          </w:p>
        </w:tc>
        <w:tc>
          <w:tcPr>
            <w:tcW w:w="3005" w:type="dxa"/>
          </w:tcPr>
          <w:p w14:paraId="36615315"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Private Equity &amp; VC.</w:t>
            </w:r>
          </w:p>
        </w:tc>
      </w:tr>
      <w:tr w:rsidR="00924AA3" w14:paraId="3AA54F18"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9F7C1D" w14:textId="77777777" w:rsidR="00924AA3" w:rsidRPr="00BB28DC" w:rsidRDefault="00924AA3" w:rsidP="00E22C6F">
            <w:pPr>
              <w:pStyle w:val="Content"/>
              <w:jc w:val="left"/>
              <w:rPr>
                <w:b w:val="0"/>
                <w:bCs w:val="0"/>
              </w:rPr>
            </w:pPr>
            <w:r w:rsidRPr="00BB28DC">
              <w:rPr>
                <w:b w:val="0"/>
                <w:bCs w:val="0"/>
              </w:rPr>
              <w:t>Expanded into divisions:</w:t>
            </w:r>
          </w:p>
        </w:tc>
        <w:tc>
          <w:tcPr>
            <w:tcW w:w="3005" w:type="dxa"/>
          </w:tcPr>
          <w:p w14:paraId="6F6948DD"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Infrastructure Investments.</w:t>
            </w:r>
          </w:p>
        </w:tc>
        <w:tc>
          <w:tcPr>
            <w:tcW w:w="3005" w:type="dxa"/>
          </w:tcPr>
          <w:p w14:paraId="351D2871"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Technology and Software Investments.</w:t>
            </w:r>
          </w:p>
        </w:tc>
      </w:tr>
      <w:tr w:rsidR="00924AA3" w14:paraId="5445C3DA" w14:textId="77777777" w:rsidTr="00E22C6F">
        <w:tc>
          <w:tcPr>
            <w:cnfStyle w:val="001000000000" w:firstRow="0" w:lastRow="0" w:firstColumn="1" w:lastColumn="0" w:oddVBand="0" w:evenVBand="0" w:oddHBand="0" w:evenHBand="0" w:firstRowFirstColumn="0" w:firstRowLastColumn="0" w:lastRowFirstColumn="0" w:lastRowLastColumn="0"/>
            <w:tcW w:w="3005" w:type="dxa"/>
          </w:tcPr>
          <w:p w14:paraId="72D80F9A" w14:textId="77777777" w:rsidR="00924AA3" w:rsidRPr="00BB28DC" w:rsidRDefault="00924AA3" w:rsidP="00E22C6F">
            <w:pPr>
              <w:pStyle w:val="Content"/>
              <w:jc w:val="left"/>
              <w:rPr>
                <w:b w:val="0"/>
                <w:bCs w:val="0"/>
              </w:rPr>
            </w:pPr>
            <w:r w:rsidRPr="00BB28DC">
              <w:rPr>
                <w:b w:val="0"/>
                <w:bCs w:val="0"/>
              </w:rPr>
              <w:t>Global presence:</w:t>
            </w:r>
          </w:p>
        </w:tc>
        <w:tc>
          <w:tcPr>
            <w:tcW w:w="3005" w:type="dxa"/>
          </w:tcPr>
          <w:p w14:paraId="65DB7683"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Strong presence in UK, Europe and North America.</w:t>
            </w:r>
          </w:p>
        </w:tc>
        <w:tc>
          <w:tcPr>
            <w:tcW w:w="3005" w:type="dxa"/>
          </w:tcPr>
          <w:p w14:paraId="2F5E6B43"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Strong presence in UK and Europe.</w:t>
            </w:r>
          </w:p>
        </w:tc>
      </w:tr>
      <w:tr w:rsidR="00924AA3" w14:paraId="0737BB94"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776C39" w14:textId="77777777" w:rsidR="00924AA3" w:rsidRPr="00BB28DC" w:rsidRDefault="00924AA3" w:rsidP="00E22C6F">
            <w:pPr>
              <w:pStyle w:val="Content"/>
              <w:jc w:val="left"/>
              <w:rPr>
                <w:b w:val="0"/>
                <w:bCs w:val="0"/>
              </w:rPr>
            </w:pPr>
            <w:r w:rsidRPr="00BB28DC">
              <w:rPr>
                <w:b w:val="0"/>
                <w:bCs w:val="0"/>
              </w:rPr>
              <w:t>Recent News:</w:t>
            </w:r>
          </w:p>
        </w:tc>
        <w:tc>
          <w:tcPr>
            <w:tcW w:w="3005" w:type="dxa"/>
          </w:tcPr>
          <w:p w14:paraId="677F7B01"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Increased deal flow and strong asset portfolio driving forward stock price.</w:t>
            </w:r>
          </w:p>
        </w:tc>
        <w:tc>
          <w:tcPr>
            <w:tcW w:w="3005" w:type="dxa"/>
          </w:tcPr>
          <w:p w14:paraId="209ECD53" w14:textId="77777777" w:rsidR="00924AA3" w:rsidRDefault="00924AA3" w:rsidP="00E22C6F">
            <w:pPr>
              <w:pStyle w:val="Content"/>
              <w:jc w:val="left"/>
              <w:cnfStyle w:val="000000100000" w:firstRow="0" w:lastRow="0" w:firstColumn="0" w:lastColumn="0" w:oddVBand="0" w:evenVBand="0" w:oddHBand="1" w:evenHBand="0" w:firstRowFirstColumn="0" w:firstRowLastColumn="0" w:lastRowFirstColumn="0" w:lastRowLastColumn="0"/>
            </w:pPr>
            <w:r>
              <w:t>Digital transformation resulting in strong growth.</w:t>
            </w:r>
          </w:p>
        </w:tc>
      </w:tr>
      <w:tr w:rsidR="00924AA3" w14:paraId="12DB7700" w14:textId="77777777" w:rsidTr="00E22C6F">
        <w:tc>
          <w:tcPr>
            <w:cnfStyle w:val="001000000000" w:firstRow="0" w:lastRow="0" w:firstColumn="1" w:lastColumn="0" w:oddVBand="0" w:evenVBand="0" w:oddHBand="0" w:evenHBand="0" w:firstRowFirstColumn="0" w:firstRowLastColumn="0" w:lastRowFirstColumn="0" w:lastRowLastColumn="0"/>
            <w:tcW w:w="3005" w:type="dxa"/>
          </w:tcPr>
          <w:p w14:paraId="0023C8C1" w14:textId="77777777" w:rsidR="00924AA3" w:rsidRPr="00BB28DC" w:rsidRDefault="00924AA3" w:rsidP="00E22C6F">
            <w:pPr>
              <w:pStyle w:val="Content"/>
              <w:jc w:val="left"/>
              <w:rPr>
                <w:b w:val="0"/>
                <w:bCs w:val="0"/>
              </w:rPr>
            </w:pPr>
            <w:r w:rsidRPr="00BB28DC">
              <w:rPr>
                <w:b w:val="0"/>
                <w:bCs w:val="0"/>
              </w:rPr>
              <w:t>Growth Prospects:</w:t>
            </w:r>
          </w:p>
        </w:tc>
        <w:tc>
          <w:tcPr>
            <w:tcW w:w="3005" w:type="dxa"/>
          </w:tcPr>
          <w:p w14:paraId="77D93920"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Focus on improved capital allocation and increased capacity for VC. Increased diversification in infrastructure investments.</w:t>
            </w:r>
          </w:p>
        </w:tc>
        <w:tc>
          <w:tcPr>
            <w:tcW w:w="3005" w:type="dxa"/>
          </w:tcPr>
          <w:p w14:paraId="6371767D" w14:textId="77777777" w:rsidR="00924AA3" w:rsidRDefault="00924AA3" w:rsidP="00E22C6F">
            <w:pPr>
              <w:pStyle w:val="Content"/>
              <w:jc w:val="left"/>
              <w:cnfStyle w:val="000000000000" w:firstRow="0" w:lastRow="0" w:firstColumn="0" w:lastColumn="0" w:oddVBand="0" w:evenVBand="0" w:oddHBand="0" w:evenHBand="0" w:firstRowFirstColumn="0" w:firstRowLastColumn="0" w:lastRowFirstColumn="0" w:lastRowLastColumn="0"/>
            </w:pPr>
            <w:r>
              <w:t>Investments into growing AI industry.</w:t>
            </w:r>
          </w:p>
        </w:tc>
      </w:tr>
    </w:tbl>
    <w:p w14:paraId="0870E976" w14:textId="77777777" w:rsidR="00924AA3" w:rsidRDefault="00924AA3" w:rsidP="00924AA3">
      <w:pPr>
        <w:pStyle w:val="NoSpacing"/>
      </w:pPr>
    </w:p>
    <w:p w14:paraId="6EB8F8A8" w14:textId="77777777" w:rsidR="00924AA3" w:rsidRDefault="00924AA3" w:rsidP="00924AA3">
      <w:pPr>
        <w:pStyle w:val="Content"/>
      </w:pPr>
      <w:r>
        <w:t>Some key measures in their Q2 2024 (compared to Q2 2023) reporting were:</w:t>
      </w:r>
    </w:p>
    <w:tbl>
      <w:tblPr>
        <w:tblStyle w:val="PlainTable3"/>
        <w:tblW w:w="0" w:type="auto"/>
        <w:tblLook w:val="04A0" w:firstRow="1" w:lastRow="0" w:firstColumn="1" w:lastColumn="0" w:noHBand="0" w:noVBand="1"/>
      </w:tblPr>
      <w:tblGrid>
        <w:gridCol w:w="3005"/>
        <w:gridCol w:w="3005"/>
        <w:gridCol w:w="3006"/>
      </w:tblGrid>
      <w:tr w:rsidR="00924AA3" w14:paraId="17BFA501"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92825FD" w14:textId="77777777" w:rsidR="00924AA3" w:rsidRPr="00BB28DC" w:rsidRDefault="00924AA3" w:rsidP="00E22C6F">
            <w:pPr>
              <w:pStyle w:val="Content"/>
              <w:jc w:val="center"/>
            </w:pPr>
            <w:r w:rsidRPr="00BB28DC">
              <w:t>Metric</w:t>
            </w:r>
          </w:p>
        </w:tc>
        <w:tc>
          <w:tcPr>
            <w:tcW w:w="3005" w:type="dxa"/>
          </w:tcPr>
          <w:p w14:paraId="2446368D" w14:textId="77777777" w:rsidR="00924AA3" w:rsidRPr="00BB28DC"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rsidRPr="00BB28DC">
              <w:t>III.L</w:t>
            </w:r>
          </w:p>
        </w:tc>
        <w:tc>
          <w:tcPr>
            <w:tcW w:w="3006" w:type="dxa"/>
          </w:tcPr>
          <w:p w14:paraId="34A77852" w14:textId="77777777" w:rsidR="00924AA3" w:rsidRPr="00BB28DC" w:rsidRDefault="00924AA3" w:rsidP="00E22C6F">
            <w:pPr>
              <w:pStyle w:val="Content"/>
              <w:jc w:val="center"/>
              <w:cnfStyle w:val="100000000000" w:firstRow="1" w:lastRow="0" w:firstColumn="0" w:lastColumn="0" w:oddVBand="0" w:evenVBand="0" w:oddHBand="0" w:evenHBand="0" w:firstRowFirstColumn="0" w:firstRowLastColumn="0" w:lastRowFirstColumn="0" w:lastRowLastColumn="0"/>
            </w:pPr>
            <w:r w:rsidRPr="00BB28DC">
              <w:t>HGT.L</w:t>
            </w:r>
          </w:p>
        </w:tc>
      </w:tr>
      <w:tr w:rsidR="00924AA3" w14:paraId="333C32B4"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29C838" w14:textId="77777777" w:rsidR="00924AA3" w:rsidRPr="00BB28DC" w:rsidRDefault="00924AA3" w:rsidP="00E22C6F">
            <w:pPr>
              <w:pStyle w:val="Content"/>
              <w:jc w:val="center"/>
              <w:rPr>
                <w:b w:val="0"/>
                <w:bCs w:val="0"/>
              </w:rPr>
            </w:pPr>
            <w:r w:rsidRPr="00BB28DC">
              <w:rPr>
                <w:b w:val="0"/>
                <w:bCs w:val="0"/>
              </w:rPr>
              <w:t>Net Asset Value per Share</w:t>
            </w:r>
          </w:p>
        </w:tc>
        <w:tc>
          <w:tcPr>
            <w:tcW w:w="3005" w:type="dxa"/>
          </w:tcPr>
          <w:p w14:paraId="13F2D04F"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+13%</w:t>
            </w:r>
          </w:p>
        </w:tc>
        <w:tc>
          <w:tcPr>
            <w:tcW w:w="3006" w:type="dxa"/>
          </w:tcPr>
          <w:p w14:paraId="652E1082"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+7%</w:t>
            </w:r>
          </w:p>
        </w:tc>
      </w:tr>
      <w:tr w:rsidR="00924AA3" w14:paraId="205185BC" w14:textId="77777777" w:rsidTr="00E22C6F">
        <w:tc>
          <w:tcPr>
            <w:cnfStyle w:val="001000000000" w:firstRow="0" w:lastRow="0" w:firstColumn="1" w:lastColumn="0" w:oddVBand="0" w:evenVBand="0" w:oddHBand="0" w:evenHBand="0" w:firstRowFirstColumn="0" w:firstRowLastColumn="0" w:lastRowFirstColumn="0" w:lastRowLastColumn="0"/>
            <w:tcW w:w="3005" w:type="dxa"/>
          </w:tcPr>
          <w:p w14:paraId="2771F750" w14:textId="77777777" w:rsidR="00924AA3" w:rsidRPr="00BB28DC" w:rsidRDefault="00924AA3" w:rsidP="00E22C6F">
            <w:pPr>
              <w:pStyle w:val="Content"/>
              <w:jc w:val="center"/>
              <w:rPr>
                <w:b w:val="0"/>
                <w:bCs w:val="0"/>
              </w:rPr>
            </w:pPr>
            <w:r w:rsidRPr="00BB28DC">
              <w:rPr>
                <w:b w:val="0"/>
                <w:bCs w:val="0"/>
              </w:rPr>
              <w:t>Gross Return</w:t>
            </w:r>
          </w:p>
        </w:tc>
        <w:tc>
          <w:tcPr>
            <w:tcW w:w="3005" w:type="dxa"/>
          </w:tcPr>
          <w:p w14:paraId="5A297C52" w14:textId="77777777" w:rsidR="00924AA3" w:rsidRPr="00BB28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BB28DC">
              <w:t>+17%</w:t>
            </w:r>
          </w:p>
        </w:tc>
        <w:tc>
          <w:tcPr>
            <w:tcW w:w="3006" w:type="dxa"/>
          </w:tcPr>
          <w:p w14:paraId="049341D7" w14:textId="77777777" w:rsidR="00924AA3" w:rsidRPr="00BB28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BB28DC">
              <w:t>+9%</w:t>
            </w:r>
          </w:p>
        </w:tc>
      </w:tr>
      <w:tr w:rsidR="00924AA3" w14:paraId="2A1BAB31"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8452B6" w14:textId="77777777" w:rsidR="00924AA3" w:rsidRPr="00BB28DC" w:rsidRDefault="00924AA3" w:rsidP="00E22C6F">
            <w:pPr>
              <w:pStyle w:val="Content"/>
              <w:jc w:val="center"/>
              <w:rPr>
                <w:b w:val="0"/>
                <w:bCs w:val="0"/>
              </w:rPr>
            </w:pPr>
            <w:r w:rsidRPr="00BB28DC">
              <w:rPr>
                <w:b w:val="0"/>
                <w:bCs w:val="0"/>
              </w:rPr>
              <w:t>DPS</w:t>
            </w:r>
          </w:p>
        </w:tc>
        <w:tc>
          <w:tcPr>
            <w:tcW w:w="3005" w:type="dxa"/>
          </w:tcPr>
          <w:p w14:paraId="59661304"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+7%</w:t>
            </w:r>
          </w:p>
        </w:tc>
        <w:tc>
          <w:tcPr>
            <w:tcW w:w="3006" w:type="dxa"/>
          </w:tcPr>
          <w:p w14:paraId="3BF466E1"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+7%</w:t>
            </w:r>
          </w:p>
        </w:tc>
      </w:tr>
      <w:tr w:rsidR="00924AA3" w14:paraId="3DF89FB8" w14:textId="77777777" w:rsidTr="00E22C6F">
        <w:tc>
          <w:tcPr>
            <w:cnfStyle w:val="001000000000" w:firstRow="0" w:lastRow="0" w:firstColumn="1" w:lastColumn="0" w:oddVBand="0" w:evenVBand="0" w:oddHBand="0" w:evenHBand="0" w:firstRowFirstColumn="0" w:firstRowLastColumn="0" w:lastRowFirstColumn="0" w:lastRowLastColumn="0"/>
            <w:tcW w:w="3005" w:type="dxa"/>
          </w:tcPr>
          <w:p w14:paraId="02834E65" w14:textId="77777777" w:rsidR="00924AA3" w:rsidRPr="00BB28DC" w:rsidRDefault="00924AA3" w:rsidP="00E22C6F">
            <w:pPr>
              <w:pStyle w:val="Content"/>
              <w:jc w:val="center"/>
              <w:rPr>
                <w:b w:val="0"/>
                <w:bCs w:val="0"/>
              </w:rPr>
            </w:pPr>
            <w:r w:rsidRPr="00BB28DC">
              <w:rPr>
                <w:b w:val="0"/>
                <w:bCs w:val="0"/>
              </w:rPr>
              <w:t>Net Debt</w:t>
            </w:r>
          </w:p>
        </w:tc>
        <w:tc>
          <w:tcPr>
            <w:tcW w:w="3005" w:type="dxa"/>
          </w:tcPr>
          <w:p w14:paraId="02633922" w14:textId="77777777" w:rsidR="00924AA3" w:rsidRPr="00BB28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BB28DC">
              <w:t>+£57B</w:t>
            </w:r>
          </w:p>
        </w:tc>
        <w:tc>
          <w:tcPr>
            <w:tcW w:w="3006" w:type="dxa"/>
          </w:tcPr>
          <w:p w14:paraId="339388EC" w14:textId="77777777" w:rsidR="00924AA3" w:rsidRPr="00BB28DC" w:rsidRDefault="00924AA3" w:rsidP="00E22C6F">
            <w:pPr>
              <w:pStyle w:val="Content"/>
              <w:jc w:val="center"/>
              <w:cnfStyle w:val="000000000000" w:firstRow="0" w:lastRow="0" w:firstColumn="0" w:lastColumn="0" w:oddVBand="0" w:evenVBand="0" w:oddHBand="0" w:evenHBand="0" w:firstRowFirstColumn="0" w:firstRowLastColumn="0" w:lastRowFirstColumn="0" w:lastRowLastColumn="0"/>
            </w:pPr>
            <w:r w:rsidRPr="00BB28DC">
              <w:t>~</w:t>
            </w:r>
          </w:p>
        </w:tc>
      </w:tr>
      <w:tr w:rsidR="00924AA3" w14:paraId="689C0CF2"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142DD0" w14:textId="77777777" w:rsidR="00924AA3" w:rsidRPr="00BB28DC" w:rsidRDefault="00924AA3" w:rsidP="00E22C6F">
            <w:pPr>
              <w:pStyle w:val="Content"/>
              <w:jc w:val="center"/>
              <w:rPr>
                <w:b w:val="0"/>
                <w:bCs w:val="0"/>
              </w:rPr>
            </w:pPr>
            <w:r w:rsidRPr="00BB28DC">
              <w:rPr>
                <w:b w:val="0"/>
                <w:bCs w:val="0"/>
              </w:rPr>
              <w:t>Assets under Management</w:t>
            </w:r>
          </w:p>
        </w:tc>
        <w:tc>
          <w:tcPr>
            <w:tcW w:w="3005" w:type="dxa"/>
          </w:tcPr>
          <w:p w14:paraId="4F2E417B"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+10%</w:t>
            </w:r>
          </w:p>
        </w:tc>
        <w:tc>
          <w:tcPr>
            <w:tcW w:w="3006" w:type="dxa"/>
          </w:tcPr>
          <w:p w14:paraId="3C92D903" w14:textId="77777777" w:rsidR="00924AA3" w:rsidRPr="00BB28DC" w:rsidRDefault="00924AA3" w:rsidP="00E22C6F">
            <w:pPr>
              <w:pStyle w:val="Content"/>
              <w:jc w:val="center"/>
              <w:cnfStyle w:val="000000100000" w:firstRow="0" w:lastRow="0" w:firstColumn="0" w:lastColumn="0" w:oddVBand="0" w:evenVBand="0" w:oddHBand="1" w:evenHBand="0" w:firstRowFirstColumn="0" w:firstRowLastColumn="0" w:lastRowFirstColumn="0" w:lastRowLastColumn="0"/>
            </w:pPr>
            <w:r w:rsidRPr="00BB28DC">
              <w:t>+7%</w:t>
            </w:r>
          </w:p>
        </w:tc>
      </w:tr>
    </w:tbl>
    <w:p w14:paraId="45A99D58" w14:textId="7ED2AF07" w:rsidR="00AD6F7C" w:rsidRDefault="00924AA3" w:rsidP="00924AA3">
      <w:pPr>
        <w:pStyle w:val="Content"/>
        <w:spacing w:after="240"/>
      </w:pPr>
      <w:r>
        <w:t xml:space="preserve">Both private equity firms showcase strong investment opportunities due to their strong financial performance (return and DPS) as well as increase in business activity (assets value per share, assets under management, debt). HgCapital’s focus on the AI revolution resembles significant opportunities for short term growth within the industry. </w:t>
      </w:r>
    </w:p>
    <w:p w14:paraId="73919D92" w14:textId="77777777" w:rsidR="00AD6F7C" w:rsidRDefault="00AD6F7C">
      <w:pPr>
        <w:rPr>
          <w:rFonts w:ascii="Cambria" w:hAnsi="Cambria"/>
          <w:sz w:val="24"/>
        </w:rPr>
      </w:pPr>
      <w:r>
        <w:br w:type="page"/>
      </w:r>
    </w:p>
    <w:p w14:paraId="76ED3E4E" w14:textId="77777777" w:rsidR="00ED4536" w:rsidRPr="00931A70" w:rsidRDefault="00ED4536" w:rsidP="00ED4536">
      <w:pPr>
        <w:pStyle w:val="Caption"/>
        <w:rPr>
          <w:rFonts w:ascii="Cambria" w:hAnsi="Cambria"/>
          <w:b/>
          <w:bCs/>
          <w:i w:val="0"/>
          <w:iCs w:val="0"/>
          <w:color w:val="auto"/>
          <w:sz w:val="24"/>
          <w:szCs w:val="24"/>
        </w:rPr>
      </w:pPr>
      <w:r w:rsidRPr="00931A70">
        <w:rPr>
          <w:rFonts w:ascii="Cambria" w:hAnsi="Cambria"/>
          <w:b/>
          <w:bCs/>
          <w:i w:val="0"/>
          <w:iCs w:val="0"/>
          <w:color w:val="auto"/>
          <w:sz w:val="24"/>
          <w:szCs w:val="24"/>
        </w:rPr>
        <w:lastRenderedPageBreak/>
        <w:t xml:space="preserve">Explanation </w:t>
      </w:r>
      <w:r w:rsidRPr="00931A70">
        <w:rPr>
          <w:rFonts w:ascii="Cambria" w:hAnsi="Cambria"/>
          <w:b/>
          <w:bCs/>
          <w:i w:val="0"/>
          <w:iCs w:val="0"/>
          <w:color w:val="auto"/>
          <w:sz w:val="24"/>
          <w:szCs w:val="24"/>
        </w:rPr>
        <w:fldChar w:fldCharType="begin"/>
      </w:r>
      <w:r w:rsidRPr="00931A70">
        <w:rPr>
          <w:rFonts w:ascii="Cambria" w:hAnsi="Cambria"/>
          <w:b/>
          <w:bCs/>
          <w:i w:val="0"/>
          <w:iCs w:val="0"/>
          <w:color w:val="auto"/>
          <w:sz w:val="24"/>
          <w:szCs w:val="24"/>
        </w:rPr>
        <w:instrText xml:space="preserve"> SEQ Explanation \* ARABIC </w:instrText>
      </w:r>
      <w:r w:rsidRPr="00931A70">
        <w:rPr>
          <w:rFonts w:ascii="Cambria" w:hAnsi="Cambria"/>
          <w:b/>
          <w:bCs/>
          <w:i w:val="0"/>
          <w:iCs w:val="0"/>
          <w:color w:val="auto"/>
          <w:sz w:val="24"/>
          <w:szCs w:val="24"/>
        </w:rPr>
        <w:fldChar w:fldCharType="separate"/>
      </w:r>
      <w:r>
        <w:rPr>
          <w:rFonts w:ascii="Cambria" w:hAnsi="Cambria"/>
          <w:b/>
          <w:bCs/>
          <w:i w:val="0"/>
          <w:iCs w:val="0"/>
          <w:noProof/>
          <w:color w:val="auto"/>
          <w:sz w:val="24"/>
          <w:szCs w:val="24"/>
        </w:rPr>
        <w:t>5</w:t>
      </w:r>
      <w:r w:rsidRPr="00931A70">
        <w:rPr>
          <w:rFonts w:ascii="Cambria" w:hAnsi="Cambria"/>
          <w:b/>
          <w:bCs/>
          <w:i w:val="0"/>
          <w:iCs w:val="0"/>
          <w:color w:val="auto"/>
          <w:sz w:val="24"/>
          <w:szCs w:val="24"/>
        </w:rPr>
        <w:fldChar w:fldCharType="end"/>
      </w:r>
      <w:r w:rsidRPr="00931A70">
        <w:rPr>
          <w:rFonts w:ascii="Cambria" w:hAnsi="Cambria"/>
          <w:b/>
          <w:bCs/>
          <w:i w:val="0"/>
          <w:iCs w:val="0"/>
          <w:color w:val="auto"/>
          <w:sz w:val="24"/>
          <w:szCs w:val="24"/>
        </w:rPr>
        <w:t xml:space="preserve"> - Basic Materials Stock Selections &amp; Justifications</w:t>
      </w:r>
    </w:p>
    <w:p w14:paraId="5A614267" w14:textId="77777777" w:rsidR="00ED4536" w:rsidRPr="00ED6639" w:rsidRDefault="00ED4536" w:rsidP="00ED4536">
      <w:pPr>
        <w:pStyle w:val="NoSpacing"/>
      </w:pPr>
    </w:p>
    <w:tbl>
      <w:tblPr>
        <w:tblStyle w:val="PlainTable3"/>
        <w:tblW w:w="0" w:type="auto"/>
        <w:tblLook w:val="04A0" w:firstRow="1" w:lastRow="0" w:firstColumn="1" w:lastColumn="0" w:noHBand="0" w:noVBand="1"/>
      </w:tblPr>
      <w:tblGrid>
        <w:gridCol w:w="1052"/>
        <w:gridCol w:w="1730"/>
        <w:gridCol w:w="1700"/>
        <w:gridCol w:w="1551"/>
        <w:gridCol w:w="2993"/>
      </w:tblGrid>
      <w:tr w:rsidR="00ED4536" w14:paraId="5B130B08"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03D4A86" w14:textId="77777777" w:rsidR="00ED4536" w:rsidRDefault="00ED4536" w:rsidP="00E22C6F">
            <w:pPr>
              <w:pStyle w:val="Content"/>
            </w:pPr>
            <w:r>
              <w:t>Ticker</w:t>
            </w:r>
          </w:p>
        </w:tc>
        <w:tc>
          <w:tcPr>
            <w:tcW w:w="0" w:type="auto"/>
          </w:tcPr>
          <w:p w14:paraId="2A60E01B" w14:textId="77777777" w:rsidR="00ED4536" w:rsidRDefault="00ED4536" w:rsidP="00E22C6F">
            <w:pPr>
              <w:pStyle w:val="Content"/>
              <w:jc w:val="left"/>
              <w:cnfStyle w:val="100000000000" w:firstRow="1" w:lastRow="0" w:firstColumn="0" w:lastColumn="0" w:oddVBand="0" w:evenVBand="0" w:oddHBand="0" w:evenHBand="0" w:firstRowFirstColumn="0" w:firstRowLastColumn="0" w:lastRowFirstColumn="0" w:lastRowLastColumn="0"/>
            </w:pPr>
            <w:r>
              <w:t>Revenue (Q2 2024 vs Q2 2023)</w:t>
            </w:r>
          </w:p>
        </w:tc>
        <w:tc>
          <w:tcPr>
            <w:tcW w:w="0" w:type="auto"/>
          </w:tcPr>
          <w:p w14:paraId="61823516" w14:textId="77777777" w:rsidR="00ED4536" w:rsidRDefault="00ED4536" w:rsidP="00E22C6F">
            <w:pPr>
              <w:pStyle w:val="Content"/>
              <w:jc w:val="left"/>
              <w:cnfStyle w:val="100000000000" w:firstRow="1" w:lastRow="0" w:firstColumn="0" w:lastColumn="0" w:oddVBand="0" w:evenVBand="0" w:oddHBand="0" w:evenHBand="0" w:firstRowFirstColumn="0" w:firstRowLastColumn="0" w:lastRowFirstColumn="0" w:lastRowLastColumn="0"/>
            </w:pPr>
            <w:r>
              <w:t>EBITDA (Q2 2024 vs Q2 2023)</w:t>
            </w:r>
          </w:p>
        </w:tc>
        <w:tc>
          <w:tcPr>
            <w:tcW w:w="0" w:type="auto"/>
          </w:tcPr>
          <w:p w14:paraId="5B3B7F8E" w14:textId="77777777" w:rsidR="00ED4536" w:rsidRDefault="00ED4536" w:rsidP="00E22C6F">
            <w:pPr>
              <w:pStyle w:val="Content"/>
              <w:jc w:val="left"/>
              <w:cnfStyle w:val="100000000000" w:firstRow="1" w:lastRow="0" w:firstColumn="0" w:lastColumn="0" w:oddVBand="0" w:evenVBand="0" w:oddHBand="0" w:evenHBand="0" w:firstRowFirstColumn="0" w:firstRowLastColumn="0" w:lastRowFirstColumn="0" w:lastRowLastColumn="0"/>
            </w:pPr>
            <w:r>
              <w:t>Debt (Q2 2024 vs Q2 2023)</w:t>
            </w:r>
          </w:p>
        </w:tc>
        <w:tc>
          <w:tcPr>
            <w:tcW w:w="0" w:type="auto"/>
          </w:tcPr>
          <w:p w14:paraId="14996060" w14:textId="77777777" w:rsidR="00ED4536" w:rsidRDefault="00ED4536" w:rsidP="00E22C6F">
            <w:pPr>
              <w:pStyle w:val="Content"/>
              <w:cnfStyle w:val="100000000000" w:firstRow="1" w:lastRow="0" w:firstColumn="0" w:lastColumn="0" w:oddVBand="0" w:evenVBand="0" w:oddHBand="0" w:evenHBand="0" w:firstRowFirstColumn="0" w:firstRowLastColumn="0" w:lastRowFirstColumn="0" w:lastRowLastColumn="0"/>
            </w:pPr>
            <w:r>
              <w:t>Production costs</w:t>
            </w:r>
          </w:p>
        </w:tc>
      </w:tr>
      <w:tr w:rsidR="00ED4536" w14:paraId="5FF761AA"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9B08AD" w14:textId="77777777" w:rsidR="00ED4536" w:rsidRPr="00D61FDC" w:rsidRDefault="00ED4536" w:rsidP="00E22C6F">
            <w:pPr>
              <w:pStyle w:val="Content"/>
              <w:rPr>
                <w:b w:val="0"/>
                <w:bCs w:val="0"/>
              </w:rPr>
            </w:pPr>
            <w:r w:rsidRPr="00D61FDC">
              <w:rPr>
                <w:b w:val="0"/>
                <w:bCs w:val="0"/>
              </w:rPr>
              <w:t>FRES.L</w:t>
            </w:r>
          </w:p>
        </w:tc>
        <w:tc>
          <w:tcPr>
            <w:tcW w:w="0" w:type="auto"/>
          </w:tcPr>
          <w:p w14:paraId="4AA8955C"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+18%</w:t>
            </w:r>
          </w:p>
        </w:tc>
        <w:tc>
          <w:tcPr>
            <w:tcW w:w="0" w:type="auto"/>
          </w:tcPr>
          <w:p w14:paraId="4076D352"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+39%</w:t>
            </w:r>
          </w:p>
        </w:tc>
        <w:tc>
          <w:tcPr>
            <w:tcW w:w="0" w:type="auto"/>
          </w:tcPr>
          <w:p w14:paraId="2995D605"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74404080"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$14.5 per ounce of silver</w:t>
            </w:r>
          </w:p>
        </w:tc>
      </w:tr>
      <w:tr w:rsidR="00ED4536" w14:paraId="28BEBFDB"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306A97A4" w14:textId="77777777" w:rsidR="00ED4536" w:rsidRPr="00D61FDC" w:rsidRDefault="00ED4536" w:rsidP="00E22C6F">
            <w:pPr>
              <w:pStyle w:val="Content"/>
              <w:rPr>
                <w:b w:val="0"/>
                <w:bCs w:val="0"/>
              </w:rPr>
            </w:pPr>
            <w:r w:rsidRPr="00D61FDC">
              <w:rPr>
                <w:b w:val="0"/>
                <w:bCs w:val="0"/>
              </w:rPr>
              <w:t>EDV.L</w:t>
            </w:r>
          </w:p>
        </w:tc>
        <w:tc>
          <w:tcPr>
            <w:tcW w:w="0" w:type="auto"/>
          </w:tcPr>
          <w:p w14:paraId="0448431A"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+6%</w:t>
            </w:r>
          </w:p>
        </w:tc>
        <w:tc>
          <w:tcPr>
            <w:tcW w:w="0" w:type="auto"/>
          </w:tcPr>
          <w:p w14:paraId="6342EBB9"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+17%</w:t>
            </w:r>
          </w:p>
        </w:tc>
        <w:tc>
          <w:tcPr>
            <w:tcW w:w="0" w:type="auto"/>
          </w:tcPr>
          <w:p w14:paraId="195A09A7"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Decrease</w:t>
            </w:r>
          </w:p>
        </w:tc>
        <w:tc>
          <w:tcPr>
            <w:tcW w:w="0" w:type="auto"/>
          </w:tcPr>
          <w:p w14:paraId="2E30FF4C"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$1287 per ounce of gold</w:t>
            </w:r>
          </w:p>
        </w:tc>
      </w:tr>
      <w:tr w:rsidR="00ED4536" w14:paraId="5850E05C"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D305B5" w14:textId="77777777" w:rsidR="00ED4536" w:rsidRPr="00D61FDC" w:rsidRDefault="00ED4536" w:rsidP="00E22C6F">
            <w:pPr>
              <w:pStyle w:val="Content"/>
              <w:rPr>
                <w:b w:val="0"/>
                <w:bCs w:val="0"/>
              </w:rPr>
            </w:pPr>
            <w:r w:rsidRPr="00D61FDC">
              <w:rPr>
                <w:b w:val="0"/>
                <w:bCs w:val="0"/>
              </w:rPr>
              <w:t>SRB.L</w:t>
            </w:r>
          </w:p>
        </w:tc>
        <w:tc>
          <w:tcPr>
            <w:tcW w:w="0" w:type="auto"/>
          </w:tcPr>
          <w:p w14:paraId="128EBFBB"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+31%</w:t>
            </w:r>
          </w:p>
        </w:tc>
        <w:tc>
          <w:tcPr>
            <w:tcW w:w="0" w:type="auto"/>
          </w:tcPr>
          <w:p w14:paraId="095E2DA6"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N/A</w:t>
            </w:r>
          </w:p>
        </w:tc>
        <w:tc>
          <w:tcPr>
            <w:tcW w:w="0" w:type="auto"/>
          </w:tcPr>
          <w:p w14:paraId="7D09DC11"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7E4C832A"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$1320 per ounce of gold</w:t>
            </w:r>
          </w:p>
        </w:tc>
      </w:tr>
      <w:tr w:rsidR="00ED4536" w14:paraId="05285B5C"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31BC1E3C" w14:textId="77777777" w:rsidR="00ED4536" w:rsidRPr="00D61FDC" w:rsidRDefault="00ED4536" w:rsidP="00E22C6F">
            <w:pPr>
              <w:pStyle w:val="Content"/>
              <w:rPr>
                <w:b w:val="0"/>
                <w:bCs w:val="0"/>
              </w:rPr>
            </w:pPr>
            <w:r w:rsidRPr="00D61FDC">
              <w:rPr>
                <w:b w:val="0"/>
                <w:bCs w:val="0"/>
              </w:rPr>
              <w:t>ALTN.L</w:t>
            </w:r>
          </w:p>
        </w:tc>
        <w:tc>
          <w:tcPr>
            <w:tcW w:w="0" w:type="auto"/>
          </w:tcPr>
          <w:p w14:paraId="18E0C475"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+0.6%</w:t>
            </w:r>
          </w:p>
        </w:tc>
        <w:tc>
          <w:tcPr>
            <w:tcW w:w="0" w:type="auto"/>
          </w:tcPr>
          <w:p w14:paraId="01DD7C1F"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-17% (adjusted)</w:t>
            </w:r>
          </w:p>
        </w:tc>
        <w:tc>
          <w:tcPr>
            <w:tcW w:w="0" w:type="auto"/>
          </w:tcPr>
          <w:p w14:paraId="28EF6CE8"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Increase</w:t>
            </w:r>
          </w:p>
        </w:tc>
        <w:tc>
          <w:tcPr>
            <w:tcW w:w="0" w:type="auto"/>
          </w:tcPr>
          <w:p w14:paraId="0431CA3E"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$1100 per ounce of gold</w:t>
            </w:r>
          </w:p>
        </w:tc>
      </w:tr>
      <w:tr w:rsidR="00ED4536" w14:paraId="0F0A2EF3"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4579B0" w14:textId="77777777" w:rsidR="00ED4536" w:rsidRPr="00D61FDC" w:rsidRDefault="00ED4536" w:rsidP="00E22C6F">
            <w:pPr>
              <w:pStyle w:val="Content"/>
              <w:rPr>
                <w:b w:val="0"/>
                <w:bCs w:val="0"/>
              </w:rPr>
            </w:pPr>
            <w:r w:rsidRPr="00D61FDC">
              <w:rPr>
                <w:b w:val="0"/>
                <w:bCs w:val="0"/>
              </w:rPr>
              <w:t>ANTO.L</w:t>
            </w:r>
          </w:p>
        </w:tc>
        <w:tc>
          <w:tcPr>
            <w:tcW w:w="0" w:type="auto"/>
          </w:tcPr>
          <w:p w14:paraId="1C5A47A8"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+17%</w:t>
            </w:r>
          </w:p>
        </w:tc>
        <w:tc>
          <w:tcPr>
            <w:tcW w:w="0" w:type="auto"/>
          </w:tcPr>
          <w:p w14:paraId="4E7BAF1A"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+5%</w:t>
            </w:r>
          </w:p>
        </w:tc>
        <w:tc>
          <w:tcPr>
            <w:tcW w:w="0" w:type="auto"/>
          </w:tcPr>
          <w:p w14:paraId="79F965B0"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6FBF0AB2"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$1.82 per pound of copper.</w:t>
            </w:r>
          </w:p>
        </w:tc>
      </w:tr>
      <w:tr w:rsidR="00ED4536" w14:paraId="4B6406EC"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14B7E37E" w14:textId="77777777" w:rsidR="00ED4536" w:rsidRPr="00D61FDC" w:rsidRDefault="00ED4536" w:rsidP="00E22C6F">
            <w:pPr>
              <w:pStyle w:val="Content"/>
              <w:rPr>
                <w:b w:val="0"/>
                <w:bCs w:val="0"/>
              </w:rPr>
            </w:pPr>
            <w:r w:rsidRPr="00D61FDC">
              <w:rPr>
                <w:b w:val="0"/>
                <w:bCs w:val="0"/>
              </w:rPr>
              <w:t>RIO.L</w:t>
            </w:r>
          </w:p>
        </w:tc>
        <w:tc>
          <w:tcPr>
            <w:tcW w:w="0" w:type="auto"/>
          </w:tcPr>
          <w:p w14:paraId="6D9F09A0"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09412974"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23DFF107"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Decrease</w:t>
            </w:r>
          </w:p>
        </w:tc>
        <w:tc>
          <w:tcPr>
            <w:tcW w:w="0" w:type="auto"/>
          </w:tcPr>
          <w:p w14:paraId="612E619F"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$1.38 per pound of copper. $21 per ton of iron ore. $1900 per tonne of aluminium. </w:t>
            </w:r>
          </w:p>
        </w:tc>
      </w:tr>
      <w:tr w:rsidR="00ED4536" w14:paraId="0DD7CBAC"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6A76BB" w14:textId="77777777" w:rsidR="00ED4536" w:rsidRPr="00D61FDC" w:rsidRDefault="00ED4536" w:rsidP="00E22C6F">
            <w:pPr>
              <w:pStyle w:val="Content"/>
              <w:rPr>
                <w:b w:val="0"/>
                <w:bCs w:val="0"/>
              </w:rPr>
            </w:pPr>
            <w:r w:rsidRPr="00D61FDC">
              <w:rPr>
                <w:b w:val="0"/>
                <w:bCs w:val="0"/>
              </w:rPr>
              <w:t>GLEN.L</w:t>
            </w:r>
          </w:p>
        </w:tc>
        <w:tc>
          <w:tcPr>
            <w:tcW w:w="0" w:type="auto"/>
          </w:tcPr>
          <w:p w14:paraId="2A59CC76"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+9%</w:t>
            </w:r>
          </w:p>
        </w:tc>
        <w:tc>
          <w:tcPr>
            <w:tcW w:w="0" w:type="auto"/>
          </w:tcPr>
          <w:p w14:paraId="52058D41"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+4%</w:t>
            </w:r>
          </w:p>
        </w:tc>
        <w:tc>
          <w:tcPr>
            <w:tcW w:w="0" w:type="auto"/>
          </w:tcPr>
          <w:p w14:paraId="3A08CDE8"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7ED00835" w14:textId="77777777" w:rsidR="00ED4536" w:rsidRDefault="00ED4536" w:rsidP="00E22C6F">
            <w:pPr>
              <w:pStyle w:val="Content"/>
              <w:jc w:val="left"/>
              <w:cnfStyle w:val="000000100000" w:firstRow="0" w:lastRow="0" w:firstColumn="0" w:lastColumn="0" w:oddVBand="0" w:evenVBand="0" w:oddHBand="1" w:evenHBand="0" w:firstRowFirstColumn="0" w:firstRowLastColumn="0" w:lastRowFirstColumn="0" w:lastRowLastColumn="0"/>
            </w:pPr>
            <w:r>
              <w:t xml:space="preserve">Primarily trade. </w:t>
            </w:r>
          </w:p>
        </w:tc>
      </w:tr>
      <w:tr w:rsidR="00ED4536" w14:paraId="6DDB7B28"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2AAD470C" w14:textId="77777777" w:rsidR="00ED4536" w:rsidRPr="00D61FDC" w:rsidRDefault="00ED4536" w:rsidP="00E22C6F">
            <w:pPr>
              <w:pStyle w:val="Content"/>
              <w:rPr>
                <w:b w:val="0"/>
                <w:bCs w:val="0"/>
              </w:rPr>
            </w:pPr>
            <w:r w:rsidRPr="00D61FDC">
              <w:rPr>
                <w:b w:val="0"/>
                <w:bCs w:val="0"/>
              </w:rPr>
              <w:t>AAL.L</w:t>
            </w:r>
          </w:p>
        </w:tc>
        <w:tc>
          <w:tcPr>
            <w:tcW w:w="0" w:type="auto"/>
          </w:tcPr>
          <w:p w14:paraId="548B6EBA"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0423A779"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+19% (adjusted)</w:t>
            </w:r>
          </w:p>
        </w:tc>
        <w:tc>
          <w:tcPr>
            <w:tcW w:w="0" w:type="auto"/>
          </w:tcPr>
          <w:p w14:paraId="66DC6E86"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Increase</w:t>
            </w:r>
          </w:p>
        </w:tc>
        <w:tc>
          <w:tcPr>
            <w:tcW w:w="0" w:type="auto"/>
          </w:tcPr>
          <w:p w14:paraId="3188F2E8" w14:textId="77777777" w:rsidR="00ED4536" w:rsidRDefault="00ED4536"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$1.57 per pound of copper. $37 per ton of iron. Other metals too.  </w:t>
            </w:r>
          </w:p>
        </w:tc>
      </w:tr>
    </w:tbl>
    <w:p w14:paraId="1810954F" w14:textId="77777777" w:rsidR="00ED4536" w:rsidRPr="002F636F" w:rsidRDefault="00ED4536" w:rsidP="00ED4536">
      <w:pPr>
        <w:pStyle w:val="NoSpacing"/>
      </w:pPr>
    </w:p>
    <w:p w14:paraId="4F3CC134" w14:textId="77777777" w:rsidR="00ED4536" w:rsidRDefault="00ED4536" w:rsidP="00ED4536">
      <w:pPr>
        <w:pStyle w:val="Content"/>
        <w:spacing w:after="240"/>
      </w:pPr>
      <w:r>
        <w:t xml:space="preserve">The stocks above all showcase strong growth in revenue and EBITDA, decreases in debt and competitive production costs (amidst given context). This signifies strong operational performance, regulatory correspondence as well as competitive production costs. As such, investments into these stocks are likely to yield favourable returns given the information and measures above.   </w:t>
      </w:r>
    </w:p>
    <w:p w14:paraId="058C9F94" w14:textId="77777777" w:rsidR="00924AA3" w:rsidRDefault="00924AA3" w:rsidP="00924AA3">
      <w:pPr>
        <w:pStyle w:val="Content"/>
        <w:spacing w:after="240"/>
      </w:pPr>
    </w:p>
    <w:p w14:paraId="20C2246C" w14:textId="77777777" w:rsidR="00924AA3" w:rsidRPr="0046587B" w:rsidRDefault="00924AA3" w:rsidP="0046587B"/>
    <w:p w14:paraId="675ABBD8" w14:textId="1023B7EA" w:rsidR="004358E7" w:rsidRDefault="004358E7">
      <w:r>
        <w:br w:type="page"/>
      </w:r>
    </w:p>
    <w:p w14:paraId="27F34FFC" w14:textId="77777777" w:rsidR="004358E7" w:rsidRPr="00931A70" w:rsidRDefault="004358E7" w:rsidP="004358E7">
      <w:pPr>
        <w:pStyle w:val="Caption"/>
        <w:rPr>
          <w:rFonts w:ascii="Cambria" w:hAnsi="Cambria"/>
          <w:b/>
          <w:bCs/>
          <w:i w:val="0"/>
          <w:iCs w:val="0"/>
          <w:color w:val="auto"/>
          <w:sz w:val="24"/>
          <w:szCs w:val="24"/>
        </w:rPr>
      </w:pPr>
      <w:r w:rsidRPr="00931A70">
        <w:rPr>
          <w:rFonts w:ascii="Cambria" w:hAnsi="Cambria"/>
          <w:b/>
          <w:bCs/>
          <w:i w:val="0"/>
          <w:iCs w:val="0"/>
          <w:color w:val="auto"/>
          <w:sz w:val="24"/>
          <w:szCs w:val="24"/>
        </w:rPr>
        <w:lastRenderedPageBreak/>
        <w:t xml:space="preserve">Explanation </w:t>
      </w:r>
      <w:r w:rsidRPr="00931A70">
        <w:rPr>
          <w:rFonts w:ascii="Cambria" w:hAnsi="Cambria"/>
          <w:b/>
          <w:bCs/>
          <w:i w:val="0"/>
          <w:iCs w:val="0"/>
          <w:color w:val="auto"/>
          <w:sz w:val="24"/>
          <w:szCs w:val="24"/>
        </w:rPr>
        <w:fldChar w:fldCharType="begin"/>
      </w:r>
      <w:r w:rsidRPr="00931A70">
        <w:rPr>
          <w:rFonts w:ascii="Cambria" w:hAnsi="Cambria"/>
          <w:b/>
          <w:bCs/>
          <w:i w:val="0"/>
          <w:iCs w:val="0"/>
          <w:color w:val="auto"/>
          <w:sz w:val="24"/>
          <w:szCs w:val="24"/>
        </w:rPr>
        <w:instrText xml:space="preserve"> SEQ Explanation \* ARABIC </w:instrText>
      </w:r>
      <w:r w:rsidRPr="00931A70">
        <w:rPr>
          <w:rFonts w:ascii="Cambria" w:hAnsi="Cambria"/>
          <w:b/>
          <w:bCs/>
          <w:i w:val="0"/>
          <w:iCs w:val="0"/>
          <w:color w:val="auto"/>
          <w:sz w:val="24"/>
          <w:szCs w:val="24"/>
        </w:rPr>
        <w:fldChar w:fldCharType="separate"/>
      </w:r>
      <w:r>
        <w:rPr>
          <w:rFonts w:ascii="Cambria" w:hAnsi="Cambria"/>
          <w:b/>
          <w:bCs/>
          <w:i w:val="0"/>
          <w:iCs w:val="0"/>
          <w:noProof/>
          <w:color w:val="auto"/>
          <w:sz w:val="24"/>
          <w:szCs w:val="24"/>
        </w:rPr>
        <w:t>5</w:t>
      </w:r>
      <w:r w:rsidRPr="00931A70">
        <w:rPr>
          <w:rFonts w:ascii="Cambria" w:hAnsi="Cambria"/>
          <w:b/>
          <w:bCs/>
          <w:i w:val="0"/>
          <w:iCs w:val="0"/>
          <w:color w:val="auto"/>
          <w:sz w:val="24"/>
          <w:szCs w:val="24"/>
        </w:rPr>
        <w:fldChar w:fldCharType="end"/>
      </w:r>
      <w:r w:rsidRPr="00931A70">
        <w:rPr>
          <w:rFonts w:ascii="Cambria" w:hAnsi="Cambria"/>
          <w:b/>
          <w:bCs/>
          <w:i w:val="0"/>
          <w:iCs w:val="0"/>
          <w:color w:val="auto"/>
          <w:sz w:val="24"/>
          <w:szCs w:val="24"/>
        </w:rPr>
        <w:t xml:space="preserve"> - Basic Materials Stock Selections &amp; Justifications</w:t>
      </w:r>
    </w:p>
    <w:p w14:paraId="63027376" w14:textId="77777777" w:rsidR="004358E7" w:rsidRPr="00ED6639" w:rsidRDefault="004358E7" w:rsidP="004358E7">
      <w:pPr>
        <w:pStyle w:val="NoSpacing"/>
      </w:pPr>
    </w:p>
    <w:tbl>
      <w:tblPr>
        <w:tblStyle w:val="PlainTable3"/>
        <w:tblW w:w="0" w:type="auto"/>
        <w:tblLook w:val="04A0" w:firstRow="1" w:lastRow="0" w:firstColumn="1" w:lastColumn="0" w:noHBand="0" w:noVBand="1"/>
      </w:tblPr>
      <w:tblGrid>
        <w:gridCol w:w="1052"/>
        <w:gridCol w:w="1730"/>
        <w:gridCol w:w="1700"/>
        <w:gridCol w:w="1551"/>
        <w:gridCol w:w="2993"/>
      </w:tblGrid>
      <w:tr w:rsidR="004358E7" w14:paraId="69FEBE90" w14:textId="77777777" w:rsidTr="00E22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0145313" w14:textId="77777777" w:rsidR="004358E7" w:rsidRDefault="004358E7" w:rsidP="00E22C6F">
            <w:pPr>
              <w:pStyle w:val="Content"/>
            </w:pPr>
            <w:r>
              <w:t>Ticker</w:t>
            </w:r>
          </w:p>
        </w:tc>
        <w:tc>
          <w:tcPr>
            <w:tcW w:w="0" w:type="auto"/>
          </w:tcPr>
          <w:p w14:paraId="56C3FE9B" w14:textId="77777777" w:rsidR="004358E7" w:rsidRDefault="004358E7" w:rsidP="00E22C6F">
            <w:pPr>
              <w:pStyle w:val="Content"/>
              <w:jc w:val="left"/>
              <w:cnfStyle w:val="100000000000" w:firstRow="1" w:lastRow="0" w:firstColumn="0" w:lastColumn="0" w:oddVBand="0" w:evenVBand="0" w:oddHBand="0" w:evenHBand="0" w:firstRowFirstColumn="0" w:firstRowLastColumn="0" w:lastRowFirstColumn="0" w:lastRowLastColumn="0"/>
            </w:pPr>
            <w:r>
              <w:t>Revenue (Q2 2024 vs Q2 2023)</w:t>
            </w:r>
          </w:p>
        </w:tc>
        <w:tc>
          <w:tcPr>
            <w:tcW w:w="0" w:type="auto"/>
          </w:tcPr>
          <w:p w14:paraId="380B6025" w14:textId="77777777" w:rsidR="004358E7" w:rsidRDefault="004358E7" w:rsidP="00E22C6F">
            <w:pPr>
              <w:pStyle w:val="Content"/>
              <w:jc w:val="left"/>
              <w:cnfStyle w:val="100000000000" w:firstRow="1" w:lastRow="0" w:firstColumn="0" w:lastColumn="0" w:oddVBand="0" w:evenVBand="0" w:oddHBand="0" w:evenHBand="0" w:firstRowFirstColumn="0" w:firstRowLastColumn="0" w:lastRowFirstColumn="0" w:lastRowLastColumn="0"/>
            </w:pPr>
            <w:r>
              <w:t>EBITDA (Q2 2024 vs Q2 2023)</w:t>
            </w:r>
          </w:p>
        </w:tc>
        <w:tc>
          <w:tcPr>
            <w:tcW w:w="0" w:type="auto"/>
          </w:tcPr>
          <w:p w14:paraId="27742B22" w14:textId="77777777" w:rsidR="004358E7" w:rsidRDefault="004358E7" w:rsidP="00E22C6F">
            <w:pPr>
              <w:pStyle w:val="Content"/>
              <w:jc w:val="left"/>
              <w:cnfStyle w:val="100000000000" w:firstRow="1" w:lastRow="0" w:firstColumn="0" w:lastColumn="0" w:oddVBand="0" w:evenVBand="0" w:oddHBand="0" w:evenHBand="0" w:firstRowFirstColumn="0" w:firstRowLastColumn="0" w:lastRowFirstColumn="0" w:lastRowLastColumn="0"/>
            </w:pPr>
            <w:r>
              <w:t>Debt (Q2 2024 vs Q2 2023)</w:t>
            </w:r>
          </w:p>
        </w:tc>
        <w:tc>
          <w:tcPr>
            <w:tcW w:w="0" w:type="auto"/>
          </w:tcPr>
          <w:p w14:paraId="2EA779F7" w14:textId="11B30226" w:rsidR="004358E7" w:rsidRDefault="004358E7" w:rsidP="00E22C6F">
            <w:pPr>
              <w:pStyle w:val="Content"/>
              <w:cnfStyle w:val="100000000000" w:firstRow="1" w:lastRow="0" w:firstColumn="0" w:lastColumn="0" w:oddVBand="0" w:evenVBand="0" w:oddHBand="0" w:evenHBand="0" w:firstRowFirstColumn="0" w:firstRowLastColumn="0" w:lastRowFirstColumn="0" w:lastRowLastColumn="0"/>
            </w:pPr>
            <w:r>
              <w:t>Production costs</w:t>
            </w:r>
            <w:r w:rsidR="004C728A">
              <w:t xml:space="preserve"> (Recent)</w:t>
            </w:r>
          </w:p>
        </w:tc>
      </w:tr>
      <w:tr w:rsidR="004358E7" w14:paraId="76A02F68"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E17F3D" w14:textId="77777777" w:rsidR="004358E7" w:rsidRPr="00D61FDC" w:rsidRDefault="004358E7" w:rsidP="00E22C6F">
            <w:pPr>
              <w:pStyle w:val="Content"/>
              <w:rPr>
                <w:b w:val="0"/>
                <w:bCs w:val="0"/>
              </w:rPr>
            </w:pPr>
            <w:r w:rsidRPr="00D61FDC">
              <w:rPr>
                <w:b w:val="0"/>
                <w:bCs w:val="0"/>
              </w:rPr>
              <w:t>FRES.L</w:t>
            </w:r>
          </w:p>
        </w:tc>
        <w:tc>
          <w:tcPr>
            <w:tcW w:w="0" w:type="auto"/>
          </w:tcPr>
          <w:p w14:paraId="21DB3AB4"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+18%</w:t>
            </w:r>
          </w:p>
        </w:tc>
        <w:tc>
          <w:tcPr>
            <w:tcW w:w="0" w:type="auto"/>
          </w:tcPr>
          <w:p w14:paraId="7267C276"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+39%</w:t>
            </w:r>
          </w:p>
        </w:tc>
        <w:tc>
          <w:tcPr>
            <w:tcW w:w="0" w:type="auto"/>
          </w:tcPr>
          <w:p w14:paraId="119C161E"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2C092A15"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$14.5 per ounce of silver</w:t>
            </w:r>
          </w:p>
        </w:tc>
      </w:tr>
      <w:tr w:rsidR="004358E7" w14:paraId="45672F50"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7A47A96E" w14:textId="77777777" w:rsidR="004358E7" w:rsidRPr="00D61FDC" w:rsidRDefault="004358E7" w:rsidP="00E22C6F">
            <w:pPr>
              <w:pStyle w:val="Content"/>
              <w:rPr>
                <w:b w:val="0"/>
                <w:bCs w:val="0"/>
              </w:rPr>
            </w:pPr>
            <w:r w:rsidRPr="00D61FDC">
              <w:rPr>
                <w:b w:val="0"/>
                <w:bCs w:val="0"/>
              </w:rPr>
              <w:t>EDV.L</w:t>
            </w:r>
          </w:p>
        </w:tc>
        <w:tc>
          <w:tcPr>
            <w:tcW w:w="0" w:type="auto"/>
          </w:tcPr>
          <w:p w14:paraId="2A3BDC85"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+6%</w:t>
            </w:r>
          </w:p>
        </w:tc>
        <w:tc>
          <w:tcPr>
            <w:tcW w:w="0" w:type="auto"/>
          </w:tcPr>
          <w:p w14:paraId="5587A206"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+17%</w:t>
            </w:r>
          </w:p>
        </w:tc>
        <w:tc>
          <w:tcPr>
            <w:tcW w:w="0" w:type="auto"/>
          </w:tcPr>
          <w:p w14:paraId="4F5F9380"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Decrease</w:t>
            </w:r>
          </w:p>
        </w:tc>
        <w:tc>
          <w:tcPr>
            <w:tcW w:w="0" w:type="auto"/>
          </w:tcPr>
          <w:p w14:paraId="20AA6EBE"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$1287 per ounce of gold</w:t>
            </w:r>
          </w:p>
        </w:tc>
      </w:tr>
      <w:tr w:rsidR="004358E7" w14:paraId="6249C128"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EE40F" w14:textId="77777777" w:rsidR="004358E7" w:rsidRPr="00D61FDC" w:rsidRDefault="004358E7" w:rsidP="00E22C6F">
            <w:pPr>
              <w:pStyle w:val="Content"/>
              <w:rPr>
                <w:b w:val="0"/>
                <w:bCs w:val="0"/>
              </w:rPr>
            </w:pPr>
            <w:r w:rsidRPr="00D61FDC">
              <w:rPr>
                <w:b w:val="0"/>
                <w:bCs w:val="0"/>
              </w:rPr>
              <w:t>SRB.L</w:t>
            </w:r>
          </w:p>
        </w:tc>
        <w:tc>
          <w:tcPr>
            <w:tcW w:w="0" w:type="auto"/>
          </w:tcPr>
          <w:p w14:paraId="5ECFDEAD"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+31%</w:t>
            </w:r>
          </w:p>
        </w:tc>
        <w:tc>
          <w:tcPr>
            <w:tcW w:w="0" w:type="auto"/>
          </w:tcPr>
          <w:p w14:paraId="679E7AC5"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N/A</w:t>
            </w:r>
          </w:p>
        </w:tc>
        <w:tc>
          <w:tcPr>
            <w:tcW w:w="0" w:type="auto"/>
          </w:tcPr>
          <w:p w14:paraId="45D8D54C"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2A7B9682"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$1320 per ounce of gold</w:t>
            </w:r>
          </w:p>
        </w:tc>
      </w:tr>
      <w:tr w:rsidR="004358E7" w14:paraId="0BFC0FFE"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428403C2" w14:textId="77777777" w:rsidR="004358E7" w:rsidRPr="00D61FDC" w:rsidRDefault="004358E7" w:rsidP="00E22C6F">
            <w:pPr>
              <w:pStyle w:val="Content"/>
              <w:rPr>
                <w:b w:val="0"/>
                <w:bCs w:val="0"/>
              </w:rPr>
            </w:pPr>
            <w:r w:rsidRPr="00D61FDC">
              <w:rPr>
                <w:b w:val="0"/>
                <w:bCs w:val="0"/>
              </w:rPr>
              <w:t>ALTN.L</w:t>
            </w:r>
          </w:p>
        </w:tc>
        <w:tc>
          <w:tcPr>
            <w:tcW w:w="0" w:type="auto"/>
          </w:tcPr>
          <w:p w14:paraId="5D90F65A"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+0.6%</w:t>
            </w:r>
          </w:p>
        </w:tc>
        <w:tc>
          <w:tcPr>
            <w:tcW w:w="0" w:type="auto"/>
          </w:tcPr>
          <w:p w14:paraId="1D47C279"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-17% (adjusted)</w:t>
            </w:r>
          </w:p>
        </w:tc>
        <w:tc>
          <w:tcPr>
            <w:tcW w:w="0" w:type="auto"/>
          </w:tcPr>
          <w:p w14:paraId="64FC6563"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Increase</w:t>
            </w:r>
          </w:p>
        </w:tc>
        <w:tc>
          <w:tcPr>
            <w:tcW w:w="0" w:type="auto"/>
          </w:tcPr>
          <w:p w14:paraId="41CA611B"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$1100 per ounce of gold</w:t>
            </w:r>
          </w:p>
        </w:tc>
      </w:tr>
      <w:tr w:rsidR="004358E7" w14:paraId="44A863FF"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FE4C2D" w14:textId="77777777" w:rsidR="004358E7" w:rsidRPr="00D61FDC" w:rsidRDefault="004358E7" w:rsidP="00E22C6F">
            <w:pPr>
              <w:pStyle w:val="Content"/>
              <w:rPr>
                <w:b w:val="0"/>
                <w:bCs w:val="0"/>
              </w:rPr>
            </w:pPr>
            <w:r w:rsidRPr="00D61FDC">
              <w:rPr>
                <w:b w:val="0"/>
                <w:bCs w:val="0"/>
              </w:rPr>
              <w:t>ANTO.L</w:t>
            </w:r>
          </w:p>
        </w:tc>
        <w:tc>
          <w:tcPr>
            <w:tcW w:w="0" w:type="auto"/>
          </w:tcPr>
          <w:p w14:paraId="39BD506F"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+17%</w:t>
            </w:r>
          </w:p>
        </w:tc>
        <w:tc>
          <w:tcPr>
            <w:tcW w:w="0" w:type="auto"/>
          </w:tcPr>
          <w:p w14:paraId="2EC3965B"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+5%</w:t>
            </w:r>
          </w:p>
        </w:tc>
        <w:tc>
          <w:tcPr>
            <w:tcW w:w="0" w:type="auto"/>
          </w:tcPr>
          <w:p w14:paraId="206BE758"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6696DCFB"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$1.82 per pound of copper.</w:t>
            </w:r>
          </w:p>
        </w:tc>
      </w:tr>
      <w:tr w:rsidR="004358E7" w14:paraId="2AE555D7"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0B110D2D" w14:textId="77777777" w:rsidR="004358E7" w:rsidRPr="00D61FDC" w:rsidRDefault="004358E7" w:rsidP="00E22C6F">
            <w:pPr>
              <w:pStyle w:val="Content"/>
              <w:rPr>
                <w:b w:val="0"/>
                <w:bCs w:val="0"/>
              </w:rPr>
            </w:pPr>
            <w:r w:rsidRPr="00D61FDC">
              <w:rPr>
                <w:b w:val="0"/>
                <w:bCs w:val="0"/>
              </w:rPr>
              <w:t>RIO.L</w:t>
            </w:r>
          </w:p>
        </w:tc>
        <w:tc>
          <w:tcPr>
            <w:tcW w:w="0" w:type="auto"/>
          </w:tcPr>
          <w:p w14:paraId="28331B2A"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4BA5ED5A"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378F8065"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Decrease</w:t>
            </w:r>
          </w:p>
        </w:tc>
        <w:tc>
          <w:tcPr>
            <w:tcW w:w="0" w:type="auto"/>
          </w:tcPr>
          <w:p w14:paraId="173D6F59"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$1.38 per pound of copper. $21 per ton of iron ore. $1900 per tonne of aluminium. </w:t>
            </w:r>
          </w:p>
        </w:tc>
      </w:tr>
      <w:tr w:rsidR="004358E7" w14:paraId="2CA27A2C" w14:textId="77777777" w:rsidTr="00E2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AEEE6" w14:textId="77777777" w:rsidR="004358E7" w:rsidRPr="00D61FDC" w:rsidRDefault="004358E7" w:rsidP="00E22C6F">
            <w:pPr>
              <w:pStyle w:val="Content"/>
              <w:rPr>
                <w:b w:val="0"/>
                <w:bCs w:val="0"/>
              </w:rPr>
            </w:pPr>
            <w:r w:rsidRPr="00D61FDC">
              <w:rPr>
                <w:b w:val="0"/>
                <w:bCs w:val="0"/>
              </w:rPr>
              <w:t>GLEN.L</w:t>
            </w:r>
          </w:p>
        </w:tc>
        <w:tc>
          <w:tcPr>
            <w:tcW w:w="0" w:type="auto"/>
          </w:tcPr>
          <w:p w14:paraId="134BC693"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+9%</w:t>
            </w:r>
          </w:p>
        </w:tc>
        <w:tc>
          <w:tcPr>
            <w:tcW w:w="0" w:type="auto"/>
          </w:tcPr>
          <w:p w14:paraId="5D0DA0C9"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+4%</w:t>
            </w:r>
          </w:p>
        </w:tc>
        <w:tc>
          <w:tcPr>
            <w:tcW w:w="0" w:type="auto"/>
          </w:tcPr>
          <w:p w14:paraId="6EDE1F60"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Decrease</w:t>
            </w:r>
          </w:p>
        </w:tc>
        <w:tc>
          <w:tcPr>
            <w:tcW w:w="0" w:type="auto"/>
          </w:tcPr>
          <w:p w14:paraId="5A669657" w14:textId="77777777" w:rsidR="004358E7" w:rsidRDefault="004358E7" w:rsidP="00E22C6F">
            <w:pPr>
              <w:pStyle w:val="Content"/>
              <w:jc w:val="left"/>
              <w:cnfStyle w:val="000000100000" w:firstRow="0" w:lastRow="0" w:firstColumn="0" w:lastColumn="0" w:oddVBand="0" w:evenVBand="0" w:oddHBand="1" w:evenHBand="0" w:firstRowFirstColumn="0" w:firstRowLastColumn="0" w:lastRowFirstColumn="0" w:lastRowLastColumn="0"/>
            </w:pPr>
            <w:r>
              <w:t xml:space="preserve">Primarily trade. </w:t>
            </w:r>
          </w:p>
        </w:tc>
      </w:tr>
      <w:tr w:rsidR="004358E7" w14:paraId="1B26EF4C" w14:textId="77777777" w:rsidTr="00E22C6F">
        <w:tc>
          <w:tcPr>
            <w:cnfStyle w:val="001000000000" w:firstRow="0" w:lastRow="0" w:firstColumn="1" w:lastColumn="0" w:oddVBand="0" w:evenVBand="0" w:oddHBand="0" w:evenHBand="0" w:firstRowFirstColumn="0" w:firstRowLastColumn="0" w:lastRowFirstColumn="0" w:lastRowLastColumn="0"/>
            <w:tcW w:w="0" w:type="auto"/>
          </w:tcPr>
          <w:p w14:paraId="7035B968" w14:textId="77777777" w:rsidR="004358E7" w:rsidRPr="00D61FDC" w:rsidRDefault="004358E7" w:rsidP="00E22C6F">
            <w:pPr>
              <w:pStyle w:val="Content"/>
              <w:rPr>
                <w:b w:val="0"/>
                <w:bCs w:val="0"/>
              </w:rPr>
            </w:pPr>
            <w:r w:rsidRPr="00D61FDC">
              <w:rPr>
                <w:b w:val="0"/>
                <w:bCs w:val="0"/>
              </w:rPr>
              <w:t>AAL.L</w:t>
            </w:r>
          </w:p>
        </w:tc>
        <w:tc>
          <w:tcPr>
            <w:tcW w:w="0" w:type="auto"/>
          </w:tcPr>
          <w:p w14:paraId="5816B94D"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-3%</w:t>
            </w:r>
          </w:p>
        </w:tc>
        <w:tc>
          <w:tcPr>
            <w:tcW w:w="0" w:type="auto"/>
          </w:tcPr>
          <w:p w14:paraId="7ACF95D0"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+19% (adjusted)</w:t>
            </w:r>
          </w:p>
        </w:tc>
        <w:tc>
          <w:tcPr>
            <w:tcW w:w="0" w:type="auto"/>
          </w:tcPr>
          <w:p w14:paraId="08B33A69"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Increase</w:t>
            </w:r>
          </w:p>
        </w:tc>
        <w:tc>
          <w:tcPr>
            <w:tcW w:w="0" w:type="auto"/>
          </w:tcPr>
          <w:p w14:paraId="5ED48CB5" w14:textId="77777777" w:rsidR="004358E7" w:rsidRDefault="004358E7" w:rsidP="00E22C6F">
            <w:pPr>
              <w:pStyle w:val="Content"/>
              <w:jc w:val="left"/>
              <w:cnfStyle w:val="000000000000" w:firstRow="0" w:lastRow="0" w:firstColumn="0" w:lastColumn="0" w:oddVBand="0" w:evenVBand="0" w:oddHBand="0" w:evenHBand="0" w:firstRowFirstColumn="0" w:firstRowLastColumn="0" w:lastRowFirstColumn="0" w:lastRowLastColumn="0"/>
            </w:pPr>
            <w:r>
              <w:t xml:space="preserve">$1.57 per pound of copper. $37 per ton of iron. Other metals too.  </w:t>
            </w:r>
          </w:p>
        </w:tc>
      </w:tr>
    </w:tbl>
    <w:p w14:paraId="3FB6ED88" w14:textId="77777777" w:rsidR="004358E7" w:rsidRPr="002F636F" w:rsidRDefault="004358E7" w:rsidP="004358E7">
      <w:pPr>
        <w:pStyle w:val="NoSpacing"/>
      </w:pPr>
    </w:p>
    <w:p w14:paraId="67C359B7" w14:textId="77777777" w:rsidR="004358E7" w:rsidRDefault="004358E7" w:rsidP="004358E7">
      <w:pPr>
        <w:pStyle w:val="Content"/>
        <w:spacing w:after="240"/>
      </w:pPr>
      <w:r>
        <w:t xml:space="preserve">The stocks above all showcase strong growth in revenue and EBITDA, decreases in debt and competitive production costs (amidst given context). This signifies strong operational performance, regulatory correspondence as well as competitive production costs. As such, investments into these stocks are likely to yield favourable returns given the information and measures above.   </w:t>
      </w:r>
    </w:p>
    <w:p w14:paraId="45534E65" w14:textId="77777777" w:rsidR="00431AF7" w:rsidRDefault="00431AF7"/>
    <w:sectPr w:rsidR="0043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96043"/>
    <w:multiLevelType w:val="hybridMultilevel"/>
    <w:tmpl w:val="6BE6D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F473F3"/>
    <w:multiLevelType w:val="hybridMultilevel"/>
    <w:tmpl w:val="06044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0C3D35"/>
    <w:multiLevelType w:val="hybridMultilevel"/>
    <w:tmpl w:val="4F0C0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1C01B4"/>
    <w:multiLevelType w:val="hybridMultilevel"/>
    <w:tmpl w:val="60FE7EF6"/>
    <w:lvl w:ilvl="0" w:tplc="8E32B6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F22C59"/>
    <w:multiLevelType w:val="multilevel"/>
    <w:tmpl w:val="3E6E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978046">
    <w:abstractNumId w:val="4"/>
  </w:num>
  <w:num w:numId="2" w16cid:durableId="1299066670">
    <w:abstractNumId w:val="3"/>
  </w:num>
  <w:num w:numId="3" w16cid:durableId="619917352">
    <w:abstractNumId w:val="0"/>
  </w:num>
  <w:num w:numId="4" w16cid:durableId="1025180632">
    <w:abstractNumId w:val="1"/>
  </w:num>
  <w:num w:numId="5" w16cid:durableId="20114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00"/>
    <w:rsid w:val="00016898"/>
    <w:rsid w:val="000A7951"/>
    <w:rsid w:val="00133650"/>
    <w:rsid w:val="0017126D"/>
    <w:rsid w:val="001E5BEC"/>
    <w:rsid w:val="00303B00"/>
    <w:rsid w:val="00426BD9"/>
    <w:rsid w:val="00431AF7"/>
    <w:rsid w:val="004358E7"/>
    <w:rsid w:val="0046587B"/>
    <w:rsid w:val="004C14C4"/>
    <w:rsid w:val="004C728A"/>
    <w:rsid w:val="005025B8"/>
    <w:rsid w:val="006E062A"/>
    <w:rsid w:val="00706468"/>
    <w:rsid w:val="0072500C"/>
    <w:rsid w:val="00742CA1"/>
    <w:rsid w:val="00770052"/>
    <w:rsid w:val="00830B57"/>
    <w:rsid w:val="00893AF5"/>
    <w:rsid w:val="009019DC"/>
    <w:rsid w:val="00924AA3"/>
    <w:rsid w:val="009606B3"/>
    <w:rsid w:val="00AD6F7C"/>
    <w:rsid w:val="00B620EB"/>
    <w:rsid w:val="00BB31BB"/>
    <w:rsid w:val="00D21723"/>
    <w:rsid w:val="00D86184"/>
    <w:rsid w:val="00ED4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2AC9"/>
  <w15:chartTrackingRefBased/>
  <w15:docId w15:val="{E6A985E9-817C-4446-A30E-111C12F3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0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E062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E062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303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6D"/>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03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TopicName">
    <w:name w:val="SubSubTopic Name"/>
    <w:basedOn w:val="Heading5"/>
    <w:link w:val="SubSubTopicNameChar"/>
    <w:autoRedefine/>
    <w:qFormat/>
    <w:rsid w:val="0017126D"/>
    <w:rPr>
      <w:rFonts w:ascii="Cambria Math" w:hAnsi="Cambria Math"/>
      <w:b/>
      <w:color w:val="000000" w:themeColor="text1"/>
      <w:sz w:val="20"/>
    </w:rPr>
  </w:style>
  <w:style w:type="character" w:customStyle="1" w:styleId="SubSubTopicNameChar">
    <w:name w:val="SubSubTopic Name Char"/>
    <w:basedOn w:val="Heading5Char"/>
    <w:link w:val="SubSubTopicName"/>
    <w:rsid w:val="0017126D"/>
    <w:rPr>
      <w:rFonts w:ascii="Cambria Math" w:eastAsiaTheme="majorEastAsia" w:hAnsi="Cambria Math" w:cstheme="majorBidi"/>
      <w:b/>
      <w:color w:val="000000" w:themeColor="text1"/>
      <w:sz w:val="20"/>
    </w:rPr>
  </w:style>
  <w:style w:type="character" w:customStyle="1" w:styleId="Heading5Char">
    <w:name w:val="Heading 5 Char"/>
    <w:basedOn w:val="DefaultParagraphFont"/>
    <w:link w:val="Heading5"/>
    <w:uiPriority w:val="9"/>
    <w:semiHidden/>
    <w:rsid w:val="0017126D"/>
    <w:rPr>
      <w:rFonts w:asciiTheme="majorHAnsi" w:eastAsiaTheme="majorEastAsia" w:hAnsiTheme="majorHAnsi" w:cstheme="majorBidi"/>
      <w:color w:val="0F4761" w:themeColor="accent1" w:themeShade="BF"/>
    </w:rPr>
  </w:style>
  <w:style w:type="paragraph" w:styleId="Title">
    <w:name w:val="Title"/>
    <w:aliases w:val="Course Name"/>
    <w:basedOn w:val="Normal"/>
    <w:next w:val="Normal"/>
    <w:link w:val="TitleChar"/>
    <w:autoRedefine/>
    <w:uiPriority w:val="10"/>
    <w:qFormat/>
    <w:rsid w:val="00B620EB"/>
    <w:pPr>
      <w:spacing w:after="0" w:line="240" w:lineRule="auto"/>
      <w:contextualSpacing/>
    </w:pPr>
    <w:rPr>
      <w:rFonts w:ascii="Cambria Math" w:eastAsiaTheme="majorEastAsia" w:hAnsi="Cambria Math" w:cstheme="majorBidi"/>
      <w:spacing w:val="-10"/>
      <w:kern w:val="28"/>
      <w:sz w:val="40"/>
      <w:szCs w:val="56"/>
    </w:rPr>
  </w:style>
  <w:style w:type="character" w:customStyle="1" w:styleId="TitleChar">
    <w:name w:val="Title Char"/>
    <w:aliases w:val="Course Name Char"/>
    <w:basedOn w:val="DefaultParagraphFont"/>
    <w:link w:val="Title"/>
    <w:uiPriority w:val="10"/>
    <w:rsid w:val="00B620EB"/>
    <w:rPr>
      <w:rFonts w:ascii="Cambria Math" w:eastAsiaTheme="majorEastAsia" w:hAnsi="Cambria Math" w:cstheme="majorBidi"/>
      <w:spacing w:val="-10"/>
      <w:kern w:val="28"/>
      <w:sz w:val="40"/>
      <w:szCs w:val="56"/>
    </w:rPr>
  </w:style>
  <w:style w:type="paragraph" w:customStyle="1" w:styleId="Text">
    <w:name w:val="Text"/>
    <w:basedOn w:val="Normal"/>
    <w:link w:val="TextChar"/>
    <w:autoRedefine/>
    <w:qFormat/>
    <w:rsid w:val="00B620EB"/>
    <w:pPr>
      <w:jc w:val="both"/>
    </w:pPr>
    <w:rPr>
      <w:rFonts w:ascii="Cambria Math" w:hAnsi="Cambria Math"/>
      <w:sz w:val="20"/>
    </w:rPr>
  </w:style>
  <w:style w:type="character" w:customStyle="1" w:styleId="TextChar">
    <w:name w:val="Text Char"/>
    <w:basedOn w:val="DefaultParagraphFont"/>
    <w:link w:val="Text"/>
    <w:rsid w:val="00B620EB"/>
    <w:rPr>
      <w:rFonts w:ascii="Cambria Math" w:hAnsi="Cambria Math"/>
      <w:sz w:val="20"/>
    </w:rPr>
  </w:style>
  <w:style w:type="paragraph" w:customStyle="1" w:styleId="ModuleName">
    <w:name w:val="Module Name"/>
    <w:basedOn w:val="Heading1"/>
    <w:link w:val="ModuleNameChar"/>
    <w:autoRedefine/>
    <w:qFormat/>
    <w:rsid w:val="006E062A"/>
    <w:pPr>
      <w:jc w:val="center"/>
    </w:pPr>
    <w:rPr>
      <w:rFonts w:ascii="Cambria Math" w:hAnsi="Cambria Math"/>
      <w:color w:val="000000" w:themeColor="text1"/>
      <w:sz w:val="36"/>
    </w:rPr>
  </w:style>
  <w:style w:type="character" w:customStyle="1" w:styleId="ModuleNameChar">
    <w:name w:val="Module Name Char"/>
    <w:basedOn w:val="Heading5Char"/>
    <w:link w:val="ModuleName"/>
    <w:rsid w:val="006E062A"/>
    <w:rPr>
      <w:rFonts w:ascii="Cambria Math" w:eastAsiaTheme="majorEastAsia" w:hAnsi="Cambria Math" w:cstheme="majorBidi"/>
      <w:color w:val="000000" w:themeColor="text1"/>
      <w:sz w:val="36"/>
      <w:szCs w:val="32"/>
    </w:rPr>
  </w:style>
  <w:style w:type="character" w:customStyle="1" w:styleId="Heading1Char">
    <w:name w:val="Heading 1 Char"/>
    <w:basedOn w:val="DefaultParagraphFont"/>
    <w:link w:val="Heading1"/>
    <w:uiPriority w:val="9"/>
    <w:rsid w:val="00B620EB"/>
    <w:rPr>
      <w:rFonts w:asciiTheme="majorHAnsi" w:eastAsiaTheme="majorEastAsia" w:hAnsiTheme="majorHAnsi" w:cstheme="majorBidi"/>
      <w:color w:val="0F4761" w:themeColor="accent1" w:themeShade="BF"/>
      <w:sz w:val="32"/>
      <w:szCs w:val="32"/>
    </w:rPr>
  </w:style>
  <w:style w:type="paragraph" w:customStyle="1" w:styleId="SubModuleName">
    <w:name w:val="SubModule Name"/>
    <w:basedOn w:val="Heading2"/>
    <w:link w:val="SubModuleNameChar"/>
    <w:autoRedefine/>
    <w:qFormat/>
    <w:rsid w:val="006E062A"/>
    <w:rPr>
      <w:rFonts w:ascii="Cambria Math" w:hAnsi="Cambria Math"/>
      <w:color w:val="000000" w:themeColor="text1"/>
      <w:sz w:val="36"/>
    </w:rPr>
  </w:style>
  <w:style w:type="character" w:customStyle="1" w:styleId="SubModuleNameChar">
    <w:name w:val="SubModule Name Char"/>
    <w:basedOn w:val="Heading2Char"/>
    <w:link w:val="SubModuleName"/>
    <w:rsid w:val="006E062A"/>
    <w:rPr>
      <w:rFonts w:ascii="Cambria Math" w:eastAsiaTheme="majorEastAsia" w:hAnsi="Cambria Math" w:cstheme="majorBidi"/>
      <w:color w:val="000000" w:themeColor="text1"/>
      <w:sz w:val="36"/>
      <w:szCs w:val="26"/>
    </w:rPr>
  </w:style>
  <w:style w:type="character" w:customStyle="1" w:styleId="Heading2Char">
    <w:name w:val="Heading 2 Char"/>
    <w:basedOn w:val="DefaultParagraphFont"/>
    <w:link w:val="Heading2"/>
    <w:uiPriority w:val="9"/>
    <w:semiHidden/>
    <w:rsid w:val="006E062A"/>
    <w:rPr>
      <w:rFonts w:asciiTheme="majorHAnsi" w:eastAsiaTheme="majorEastAsia" w:hAnsiTheme="majorHAnsi" w:cstheme="majorBidi"/>
      <w:color w:val="0F4761" w:themeColor="accent1" w:themeShade="BF"/>
      <w:sz w:val="26"/>
      <w:szCs w:val="26"/>
    </w:rPr>
  </w:style>
  <w:style w:type="paragraph" w:customStyle="1" w:styleId="SubSubModuleName">
    <w:name w:val="SubSubModule Name"/>
    <w:basedOn w:val="Heading3"/>
    <w:link w:val="SubSubModuleNameChar"/>
    <w:autoRedefine/>
    <w:qFormat/>
    <w:rsid w:val="006E062A"/>
    <w:rPr>
      <w:rFonts w:ascii="Cambria Math" w:hAnsi="Cambria Math"/>
      <w:color w:val="000000" w:themeColor="text1"/>
      <w:sz w:val="26"/>
    </w:rPr>
  </w:style>
  <w:style w:type="character" w:customStyle="1" w:styleId="SubSubModuleNameChar">
    <w:name w:val="SubSubModule Name Char"/>
    <w:basedOn w:val="Heading3Char"/>
    <w:link w:val="SubSubModuleName"/>
    <w:rsid w:val="006E062A"/>
    <w:rPr>
      <w:rFonts w:ascii="Cambria Math" w:eastAsiaTheme="majorEastAsia" w:hAnsi="Cambria Math" w:cstheme="majorBidi"/>
      <w:color w:val="000000" w:themeColor="text1"/>
      <w:sz w:val="26"/>
      <w:szCs w:val="24"/>
    </w:rPr>
  </w:style>
  <w:style w:type="character" w:customStyle="1" w:styleId="Heading3Char">
    <w:name w:val="Heading 3 Char"/>
    <w:basedOn w:val="DefaultParagraphFont"/>
    <w:link w:val="Heading3"/>
    <w:uiPriority w:val="9"/>
    <w:semiHidden/>
    <w:rsid w:val="006E062A"/>
    <w:rPr>
      <w:rFonts w:asciiTheme="majorHAnsi" w:eastAsiaTheme="majorEastAsia" w:hAnsiTheme="majorHAnsi" w:cstheme="majorBidi"/>
      <w:color w:val="0A2F40" w:themeColor="accent1" w:themeShade="7F"/>
      <w:sz w:val="24"/>
      <w:szCs w:val="24"/>
    </w:rPr>
  </w:style>
  <w:style w:type="table" w:styleId="ListTable7Colorful-Accent3">
    <w:name w:val="List Table 7 Colorful Accent 3"/>
    <w:basedOn w:val="TableNormal"/>
    <w:uiPriority w:val="52"/>
    <w:rsid w:val="00742CA1"/>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03B00"/>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303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B00"/>
    <w:rPr>
      <w:rFonts w:eastAsiaTheme="majorEastAsia" w:cstheme="majorBidi"/>
      <w:color w:val="272727" w:themeColor="text1" w:themeTint="D8"/>
    </w:rPr>
  </w:style>
  <w:style w:type="paragraph" w:styleId="Subtitle">
    <w:name w:val="Subtitle"/>
    <w:basedOn w:val="Normal"/>
    <w:next w:val="Normal"/>
    <w:link w:val="SubtitleChar"/>
    <w:uiPriority w:val="11"/>
    <w:qFormat/>
    <w:rsid w:val="00303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B00"/>
    <w:pPr>
      <w:spacing w:before="160"/>
      <w:jc w:val="center"/>
    </w:pPr>
    <w:rPr>
      <w:i/>
      <w:iCs/>
      <w:color w:val="404040" w:themeColor="text1" w:themeTint="BF"/>
    </w:rPr>
  </w:style>
  <w:style w:type="character" w:customStyle="1" w:styleId="QuoteChar">
    <w:name w:val="Quote Char"/>
    <w:basedOn w:val="DefaultParagraphFont"/>
    <w:link w:val="Quote"/>
    <w:uiPriority w:val="29"/>
    <w:rsid w:val="00303B00"/>
    <w:rPr>
      <w:i/>
      <w:iCs/>
      <w:color w:val="404040" w:themeColor="text1" w:themeTint="BF"/>
    </w:rPr>
  </w:style>
  <w:style w:type="paragraph" w:styleId="ListParagraph">
    <w:name w:val="List Paragraph"/>
    <w:basedOn w:val="Normal"/>
    <w:uiPriority w:val="34"/>
    <w:qFormat/>
    <w:rsid w:val="00303B00"/>
    <w:pPr>
      <w:ind w:left="720"/>
      <w:contextualSpacing/>
    </w:pPr>
  </w:style>
  <w:style w:type="character" w:styleId="IntenseEmphasis">
    <w:name w:val="Intense Emphasis"/>
    <w:basedOn w:val="DefaultParagraphFont"/>
    <w:uiPriority w:val="21"/>
    <w:qFormat/>
    <w:rsid w:val="00303B00"/>
    <w:rPr>
      <w:i/>
      <w:iCs/>
      <w:color w:val="0F4761" w:themeColor="accent1" w:themeShade="BF"/>
    </w:rPr>
  </w:style>
  <w:style w:type="paragraph" w:styleId="IntenseQuote">
    <w:name w:val="Intense Quote"/>
    <w:basedOn w:val="Normal"/>
    <w:next w:val="Normal"/>
    <w:link w:val="IntenseQuoteChar"/>
    <w:uiPriority w:val="30"/>
    <w:qFormat/>
    <w:rsid w:val="00303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B00"/>
    <w:rPr>
      <w:i/>
      <w:iCs/>
      <w:color w:val="0F4761" w:themeColor="accent1" w:themeShade="BF"/>
    </w:rPr>
  </w:style>
  <w:style w:type="character" w:styleId="IntenseReference">
    <w:name w:val="Intense Reference"/>
    <w:basedOn w:val="DefaultParagraphFont"/>
    <w:uiPriority w:val="32"/>
    <w:qFormat/>
    <w:rsid w:val="00303B00"/>
    <w:rPr>
      <w:b/>
      <w:bCs/>
      <w:smallCaps/>
      <w:color w:val="0F4761" w:themeColor="accent1" w:themeShade="BF"/>
      <w:spacing w:val="5"/>
    </w:rPr>
  </w:style>
  <w:style w:type="table" w:styleId="TableGrid">
    <w:name w:val="Table Grid"/>
    <w:basedOn w:val="TableNormal"/>
    <w:uiPriority w:val="39"/>
    <w:rsid w:val="00303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Spacing"/>
    <w:next w:val="NoSpacing"/>
    <w:link w:val="ContentChar"/>
    <w:qFormat/>
    <w:rsid w:val="00924AA3"/>
    <w:pPr>
      <w:spacing w:line="360" w:lineRule="auto"/>
      <w:jc w:val="both"/>
    </w:pPr>
    <w:rPr>
      <w:rFonts w:ascii="Cambria" w:hAnsi="Cambria"/>
      <w:sz w:val="24"/>
    </w:rPr>
  </w:style>
  <w:style w:type="paragraph" w:styleId="NoSpacing">
    <w:name w:val="No Spacing"/>
    <w:link w:val="NoSpacingChar"/>
    <w:uiPriority w:val="1"/>
    <w:rsid w:val="00924AA3"/>
    <w:pPr>
      <w:spacing w:after="0" w:line="240" w:lineRule="auto"/>
    </w:pPr>
  </w:style>
  <w:style w:type="character" w:customStyle="1" w:styleId="NoSpacingChar">
    <w:name w:val="No Spacing Char"/>
    <w:basedOn w:val="DefaultParagraphFont"/>
    <w:link w:val="NoSpacing"/>
    <w:uiPriority w:val="1"/>
    <w:rsid w:val="00924AA3"/>
  </w:style>
  <w:style w:type="character" w:customStyle="1" w:styleId="ContentChar">
    <w:name w:val="Content Char"/>
    <w:basedOn w:val="NoSpacingChar"/>
    <w:link w:val="Content"/>
    <w:rsid w:val="00924AA3"/>
    <w:rPr>
      <w:rFonts w:ascii="Cambria" w:hAnsi="Cambria"/>
      <w:sz w:val="24"/>
    </w:rPr>
  </w:style>
  <w:style w:type="paragraph" w:styleId="Caption">
    <w:name w:val="caption"/>
    <w:basedOn w:val="Normal"/>
    <w:next w:val="Normal"/>
    <w:uiPriority w:val="35"/>
    <w:unhideWhenUsed/>
    <w:qFormat/>
    <w:rsid w:val="00924AA3"/>
    <w:pPr>
      <w:spacing w:after="200" w:line="240" w:lineRule="auto"/>
    </w:pPr>
    <w:rPr>
      <w:i/>
      <w:iCs/>
      <w:color w:val="0E2841" w:themeColor="text2"/>
      <w:sz w:val="18"/>
      <w:szCs w:val="18"/>
    </w:rPr>
  </w:style>
  <w:style w:type="table" w:styleId="PlainTable3">
    <w:name w:val="Plain Table 3"/>
    <w:basedOn w:val="TableNormal"/>
    <w:uiPriority w:val="43"/>
    <w:rsid w:val="00924A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8739">
      <w:bodyDiv w:val="1"/>
      <w:marLeft w:val="0"/>
      <w:marRight w:val="0"/>
      <w:marTop w:val="0"/>
      <w:marBottom w:val="0"/>
      <w:divBdr>
        <w:top w:val="none" w:sz="0" w:space="0" w:color="auto"/>
        <w:left w:val="none" w:sz="0" w:space="0" w:color="auto"/>
        <w:bottom w:val="none" w:sz="0" w:space="0" w:color="auto"/>
        <w:right w:val="none" w:sz="0" w:space="0" w:color="auto"/>
      </w:divBdr>
    </w:div>
    <w:div w:id="654991965">
      <w:bodyDiv w:val="1"/>
      <w:marLeft w:val="0"/>
      <w:marRight w:val="0"/>
      <w:marTop w:val="0"/>
      <w:marBottom w:val="0"/>
      <w:divBdr>
        <w:top w:val="none" w:sz="0" w:space="0" w:color="auto"/>
        <w:left w:val="none" w:sz="0" w:space="0" w:color="auto"/>
        <w:bottom w:val="none" w:sz="0" w:space="0" w:color="auto"/>
        <w:right w:val="none" w:sz="0" w:space="0" w:color="auto"/>
      </w:divBdr>
      <w:divsChild>
        <w:div w:id="600264213">
          <w:marLeft w:val="0"/>
          <w:marRight w:val="0"/>
          <w:marTop w:val="0"/>
          <w:marBottom w:val="0"/>
          <w:divBdr>
            <w:top w:val="none" w:sz="0" w:space="0" w:color="auto"/>
            <w:left w:val="none" w:sz="0" w:space="0" w:color="auto"/>
            <w:bottom w:val="none" w:sz="0" w:space="0" w:color="auto"/>
            <w:right w:val="none" w:sz="0" w:space="0" w:color="auto"/>
          </w:divBdr>
          <w:divsChild>
            <w:div w:id="598561975">
              <w:marLeft w:val="0"/>
              <w:marRight w:val="0"/>
              <w:marTop w:val="0"/>
              <w:marBottom w:val="0"/>
              <w:divBdr>
                <w:top w:val="none" w:sz="0" w:space="0" w:color="auto"/>
                <w:left w:val="none" w:sz="0" w:space="0" w:color="auto"/>
                <w:bottom w:val="none" w:sz="0" w:space="0" w:color="auto"/>
                <w:right w:val="none" w:sz="0" w:space="0" w:color="auto"/>
              </w:divBdr>
              <w:divsChild>
                <w:div w:id="2225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133">
          <w:marLeft w:val="0"/>
          <w:marRight w:val="0"/>
          <w:marTop w:val="0"/>
          <w:marBottom w:val="0"/>
          <w:divBdr>
            <w:top w:val="none" w:sz="0" w:space="0" w:color="auto"/>
            <w:left w:val="none" w:sz="0" w:space="0" w:color="auto"/>
            <w:bottom w:val="none" w:sz="0" w:space="0" w:color="auto"/>
            <w:right w:val="none" w:sz="0" w:space="0" w:color="auto"/>
          </w:divBdr>
          <w:divsChild>
            <w:div w:id="1949001616">
              <w:marLeft w:val="0"/>
              <w:marRight w:val="0"/>
              <w:marTop w:val="0"/>
              <w:marBottom w:val="0"/>
              <w:divBdr>
                <w:top w:val="none" w:sz="0" w:space="0" w:color="auto"/>
                <w:left w:val="none" w:sz="0" w:space="0" w:color="auto"/>
                <w:bottom w:val="none" w:sz="0" w:space="0" w:color="auto"/>
                <w:right w:val="none" w:sz="0" w:space="0" w:color="auto"/>
              </w:divBdr>
              <w:divsChild>
                <w:div w:id="6102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4713">
      <w:bodyDiv w:val="1"/>
      <w:marLeft w:val="0"/>
      <w:marRight w:val="0"/>
      <w:marTop w:val="0"/>
      <w:marBottom w:val="0"/>
      <w:divBdr>
        <w:top w:val="none" w:sz="0" w:space="0" w:color="auto"/>
        <w:left w:val="none" w:sz="0" w:space="0" w:color="auto"/>
        <w:bottom w:val="none" w:sz="0" w:space="0" w:color="auto"/>
        <w:right w:val="none" w:sz="0" w:space="0" w:color="auto"/>
      </w:divBdr>
      <w:divsChild>
        <w:div w:id="1267150249">
          <w:marLeft w:val="0"/>
          <w:marRight w:val="0"/>
          <w:marTop w:val="0"/>
          <w:marBottom w:val="0"/>
          <w:divBdr>
            <w:top w:val="none" w:sz="0" w:space="0" w:color="auto"/>
            <w:left w:val="none" w:sz="0" w:space="0" w:color="auto"/>
            <w:bottom w:val="none" w:sz="0" w:space="0" w:color="auto"/>
            <w:right w:val="none" w:sz="0" w:space="0" w:color="auto"/>
          </w:divBdr>
          <w:divsChild>
            <w:div w:id="37359889">
              <w:marLeft w:val="0"/>
              <w:marRight w:val="0"/>
              <w:marTop w:val="0"/>
              <w:marBottom w:val="0"/>
              <w:divBdr>
                <w:top w:val="none" w:sz="0" w:space="0" w:color="auto"/>
                <w:left w:val="none" w:sz="0" w:space="0" w:color="auto"/>
                <w:bottom w:val="none" w:sz="0" w:space="0" w:color="auto"/>
                <w:right w:val="none" w:sz="0" w:space="0" w:color="auto"/>
              </w:divBdr>
              <w:divsChild>
                <w:div w:id="6195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025">
          <w:marLeft w:val="0"/>
          <w:marRight w:val="0"/>
          <w:marTop w:val="0"/>
          <w:marBottom w:val="0"/>
          <w:divBdr>
            <w:top w:val="none" w:sz="0" w:space="0" w:color="auto"/>
            <w:left w:val="none" w:sz="0" w:space="0" w:color="auto"/>
            <w:bottom w:val="none" w:sz="0" w:space="0" w:color="auto"/>
            <w:right w:val="none" w:sz="0" w:space="0" w:color="auto"/>
          </w:divBdr>
          <w:divsChild>
            <w:div w:id="1987856249">
              <w:marLeft w:val="0"/>
              <w:marRight w:val="0"/>
              <w:marTop w:val="0"/>
              <w:marBottom w:val="0"/>
              <w:divBdr>
                <w:top w:val="none" w:sz="0" w:space="0" w:color="auto"/>
                <w:left w:val="none" w:sz="0" w:space="0" w:color="auto"/>
                <w:bottom w:val="none" w:sz="0" w:space="0" w:color="auto"/>
                <w:right w:val="none" w:sz="0" w:space="0" w:color="auto"/>
              </w:divBdr>
              <w:divsChild>
                <w:div w:id="8054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9988">
      <w:bodyDiv w:val="1"/>
      <w:marLeft w:val="0"/>
      <w:marRight w:val="0"/>
      <w:marTop w:val="0"/>
      <w:marBottom w:val="0"/>
      <w:divBdr>
        <w:top w:val="none" w:sz="0" w:space="0" w:color="auto"/>
        <w:left w:val="none" w:sz="0" w:space="0" w:color="auto"/>
        <w:bottom w:val="none" w:sz="0" w:space="0" w:color="auto"/>
        <w:right w:val="none" w:sz="0" w:space="0" w:color="auto"/>
      </w:divBdr>
    </w:div>
    <w:div w:id="18577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Dhwanish Kshatriya</dc:creator>
  <cp:keywords/>
  <dc:description/>
  <cp:lastModifiedBy>Dhwanish Kshatriya</cp:lastModifiedBy>
  <cp:revision>13</cp:revision>
  <dcterms:created xsi:type="dcterms:W3CDTF">2024-11-08T09:55:00Z</dcterms:created>
  <dcterms:modified xsi:type="dcterms:W3CDTF">2024-11-08T11:19:00Z</dcterms:modified>
</cp:coreProperties>
</file>