
<file path=word/document.xml><?xml version="1.0" encoding="utf-8"?>
<w:document xmlns:w="http://schemas.openxmlformats.org/wordprocessingml/2006/main">
  <w:body>
    <w:p>
      <w:pPr>
        <w:pStyle w:val="Heading1"/>
      </w:pPr>
      <w:r>
        <w:t xml:space="preserve">课题实施方案（Demo）</w:t>
      </w:r>
    </w:p>
    <w:p>
      <w:pPr>
        <w:pStyle w:val="Heading2"/>
      </w:pPr>
      <w:r>
        <w:t xml:space="preserve">课题概述</w:t>
      </w:r>
    </w:p>
    <w:p>
      <w:pPr>
        <w:pStyle w:val="Body"/>
      </w:pPr>
      <w:r>
        <w:t xml:space="preserve">本课题围绕电能替代背景下新型负荷特性分析与中长期发展趋势预测技术，研发支撑电网中长期规划的负荷预测模块。课题总体目标是建立统一数据输入、集成特性分析与预测功能的中长期负荷预测模块，并通过典型区域验证模块可用性。</w:t>
      </w:r>
    </w:p>
    <w:p>
      <w:pPr>
        <w:pStyle w:val="Heading2"/>
      </w:pPr>
      <w:r>
        <w:t xml:space="preserve">研究目标与总体思路</w:t>
      </w:r>
    </w:p>
    <w:p>
      <w:pPr>
        <w:pStyle w:val="Heading3"/>
      </w:pPr>
      <w:r>
        <w:t xml:space="preserve">总体研究目标</w:t>
      </w:r>
    </w:p>
    <w:p>
      <w:pPr>
        <w:pStyle w:val="Body"/>
      </w:pPr>
      <w:r>
        <w:t xml:space="preserve">构建覆盖中长期与典型区域两个层次的负荷预测模块，提升规划方案匹配度。模块应支持多源数据融合与不确定性分析，输出可用于电网规划的数据集与预测结果。</w:t>
      </w:r>
    </w:p>
    <w:p>
      <w:pPr>
        <w:pStyle w:val="Heading3"/>
      </w:pPr>
      <w:r>
        <w:t xml:space="preserve">具体研究目标</w:t>
      </w:r>
    </w:p>
    <w:p>
      <w:pPr>
        <w:pStyle w:val="Body"/>
      </w:pPr>
      <w:r>
        <w:t xml:space="preserve">- 中长期负荷预测模块研发目标：实现年度电量与负荷预测，量化不确定性区间。</w:t>
      </w:r>
    </w:p>
    <w:p>
      <w:pPr>
        <w:pStyle w:val="Body"/>
      </w:pPr>
      <w:r>
        <w:t xml:space="preserve">- 典型区域验证目标：在选定区域完成数据接入、模型校准与结果比对。</w:t>
      </w:r>
    </w:p>
    <w:p>
      <w:pPr>
        <w:pStyle w:val="Body"/>
      </w:pPr>
      <w:r>
        <w:t xml:space="preserve">- 规划方案匹配度提升目标：提升预测结果与电网规划方案的匹配度指标。</w:t>
      </w:r>
    </w:p>
    <w:p>
      <w:pPr>
        <w:pStyle w:val="Heading2"/>
      </w:pPr>
      <w:r>
        <w:t xml:space="preserve">课题总体技术方案</w:t>
      </w:r>
    </w:p>
    <w:p>
      <w:pPr>
        <w:pStyle w:val="Heading3"/>
      </w:pPr>
      <w:r>
        <w:t xml:space="preserve">总体技术路线</w:t>
      </w:r>
    </w:p>
    <w:p>
      <w:pPr>
        <w:pStyle w:val="Body"/>
      </w:pPr>
      <w:r>
        <w:t xml:space="preserve">以数据驱动为核心，依次完成数据准备、特性分析、模型研发、区域验证与成果固化。各阶段输入输出明确，形成可追溯的数据、模型与结果流转链路。</w:t>
      </w:r>
    </w:p>
    <w:p>
      <w:pPr>
        <w:pStyle w:val="Heading3"/>
      </w:pPr>
      <w:r>
        <w:t xml:space="preserve">业务处理流程</w:t>
      </w:r>
    </w:p>
    <w:p>
      <w:pPr>
        <w:pStyle w:val="Body"/>
      </w:pPr>
      <w:r>
        <w:t xml:space="preserve">业务处理流程覆盖项目与数据准备、特性分析、模型研发、区域验证、成果固化五个阶段。每个阶段的核心工作、主要输入与主要输出如下表所示。</w:t>
      </w:r>
    </w:p>
    <w:p>
      <w:pPr>
        <w:pStyle w:val="Body"/>
      </w:pPr>
      <w:r>
        <w:t xml:space="preserve">| 阶段 | 核心工作 | 主要输入 | 主要输出 |</w:t>
      </w:r>
    </w:p>
    <w:p>
      <w:pPr>
        <w:pStyle w:val="Body"/>
      </w:pPr>
      <w:r>
        <w:t xml:space="preserve">| --- | --- | --- | --- |</w:t>
      </w:r>
    </w:p>
    <w:p>
      <w:pPr>
        <w:pStyle w:val="Body"/>
      </w:pPr>
      <w:r>
        <w:t xml:space="preserve">| 1 项目与数据准备 | 建立分析项目，导入区域基础数据 | 区域基础资料、历史负荷 | 可分析数据集、数据质量报告 |</w:t>
      </w:r>
    </w:p>
    <w:p>
      <w:pPr>
        <w:pStyle w:val="Body"/>
      </w:pPr>
      <w:r>
        <w:t xml:space="preserve">| 2 特性分析 | 新型负荷特性建模 | 处理后数据集 | 特性分析报告、典型曲线 |</w:t>
      </w:r>
    </w:p>
    <w:p>
      <w:pPr>
        <w:pStyle w:val="Body"/>
      </w:pPr>
      <w:r>
        <w:t xml:space="preserve">| 3 模型研发 | 中长期负荷预测模型研发 | 特性分析结果、历史样本 | 预测模型、不确定性区间 |</w:t>
      </w:r>
    </w:p>
    <w:p>
      <w:pPr>
        <w:pStyle w:val="Body"/>
      </w:pPr>
      <w:r>
        <w:t xml:space="preserve">| 4 区域验证 | 典型区域模型校准与比对 | 区域实测数据、预测模型 | 验证报告、匹配度指标 |</w:t>
      </w:r>
    </w:p>
    <w:p>
      <w:pPr>
        <w:pStyle w:val="Body"/>
      </w:pPr>
      <w:r>
        <w:t xml:space="preserve">| 5 成果固化 | 文档与接口固化 | 验证报告、模型成果 | 实施方案、接口说明 |</w:t>
      </w:r>
    </w:p>
    <w:p>
      <w:pPr>
        <w:pStyle w:val="Heading2"/>
      </w:pPr>
      <w:r>
        <w:t xml:space="preserve">任务分解</w:t>
      </w:r>
    </w:p>
    <w:p>
      <w:pPr>
        <w:pStyle w:val="Heading3"/>
      </w:pPr>
      <w:r>
        <w:t xml:space="preserve">任务1：中长期负荷预测模块研发</w:t>
      </w:r>
    </w:p>
    <w:p>
      <w:pPr>
        <w:pStyle w:val="Body"/>
      </w:pPr>
      <w:r>
        <w:t xml:space="preserve">统一数据输入、集成特性分析与预测功能，输出中长期负荷预测模块、数据模板与不确定性区间。</w:t>
      </w:r>
    </w:p>
    <w:p>
      <w:pPr>
        <w:pStyle w:val="Heading3"/>
      </w:pPr>
      <w:r>
        <w:t xml:space="preserve">任务2：典型区域验证</w:t>
      </w:r>
    </w:p>
    <w:p>
      <w:pPr>
        <w:pStyle w:val="Body"/>
      </w:pPr>
      <w:r>
        <w:t xml:space="preserve">在典型区域完成数据接入、模型校准与结果比对，输出验证报告与匹配度指标。</w:t>
      </w:r>
    </w:p>
    <w:sectPr>
      <w:pgSz w:w="11906" w:h="16838" w:orient="portrait"/>
      <w:pgMar w:top="1587" w:bottom="1474" w:left="1587" w:right="1474"/>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1">
    <w:name w:val="Normal"/>
  </w:style>
  <w:style w:type="paragraph" w:styleId="Body">
    <w:name w:val="正文"/>
    <w:pPr>
      <w:ind w:firstLineChars="200"/>
      <w:spacing w:before="0" w:after="0" w:line="360" w:lineRule="auto"/>
      <w:jc w:val="both"/>
    </w:pPr>
    <w:rPr>
      <w:rFonts w:ascii="Times New Roman" w:hAnsi="Times New Roman" w:eastAsia="仿宋"/>
      <w:sz w:val="24"/>
    </w:rPr>
  </w:style>
  <w:style w:type="paragraph" w:styleId="Heading1">
    <w:name w:val="heading 1"/>
    <w:pPr>
      <w:outlineLvl w:val="0"/>
    </w:pPr>
    <w:rPr>
      <w:rFonts w:eastAsia="黑体" w:ascii="Times New Roman" w:hAnsi="Times New Roman"/>
      <w:b w:val="1"/>
      <w:color w:val="000000"/>
      <w:sz w:val="32"/>
    </w:rPr>
  </w:style>
  <w:style w:type="paragraph" w:styleId="Heading2">
    <w:name w:val="heading 2"/>
    <w:pPr>
      <w:outlineLvl w:val="1"/>
    </w:pPr>
    <w:rPr>
      <w:rFonts w:eastAsia="黑体" w:ascii="Times New Roman" w:hAnsi="Times New Roman"/>
      <w:b w:val="1"/>
      <w:color w:val="000000"/>
      <w:sz w:val="28"/>
    </w:rPr>
  </w:style>
  <w:style w:type="paragraph" w:styleId="Heading3">
    <w:name w:val="heading 3"/>
    <w:pPr>
      <w:outlineLvl w:val="2"/>
    </w:pPr>
    <w:rPr>
      <w:rFonts w:eastAsia="黑体" w:ascii="Times New Roman" w:hAnsi="Times New Roman"/>
      <w:b w:val="1"/>
      <w:color w:val="000000"/>
      <w:sz w:val="24"/>
    </w:rPr>
  </w:style>
</w:styles>
</file>