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1440" w:after="640"/>
        <w:ind w:hanging="0" w:start="0" w:end="0"/>
        <w:jc w:val="center"/>
        <w:rPr/>
      </w:pPr>
      <w:r>
        <w:rPr>
          <w:rFonts w:ascii="Times New Roman" w:hAnsi="Times New Roman" w:cs="Times New Roman" w:eastAsia="黑体"/>
          <w:b w:val="false"/>
          <w:color w:val="000000"/>
          <w:sz w:val="32"/>
        </w:rPr>
        <w:t>国家电网公司科学技术项目</w:t>
      </w:r>
    </w:p>
    <w:p>
      <w:pPr>
        <w:pStyle w:val="Normal"/>
        <w:spacing w:lineRule="auto" w:line="288" w:before="360" w:after="400"/>
        <w:ind w:hanging="0" w:start="0" w:end="0"/>
        <w:jc w:val="center"/>
        <w:rPr/>
      </w:pPr>
      <w:r>
        <w:rPr>
          <w:rFonts w:ascii="Times New Roman" w:hAnsi="Times New Roman" w:cs="Times New Roman" w:eastAsia="黑体"/>
          <w:b/>
          <w:color w:val="000000"/>
          <w:sz w:val="36"/>
        </w:rPr>
        <w:t>电能替代背景下新型负荷特性分析与</w:t>
      </w:r>
      <w:r>
        <w:rPr>
          <w:rFonts w:eastAsia="黑体" w:cs="Times New Roman"/>
          <w:b/>
          <w:color w:val="000000"/>
          <w:sz w:val="36"/>
        </w:rPr>
        <w:br/>
      </w:r>
      <w:r>
        <w:rPr>
          <w:rFonts w:ascii="Times New Roman" w:hAnsi="Times New Roman" w:cs="Times New Roman" w:eastAsia="黑体"/>
          <w:b/>
          <w:color w:val="000000"/>
          <w:sz w:val="36"/>
        </w:rPr>
        <w:t>中长期发展趋势预测技术</w:t>
      </w:r>
    </w:p>
    <w:p>
      <w:pPr>
        <w:pStyle w:val="Normal"/>
        <w:spacing w:lineRule="auto" w:line="288" w:before="200" w:after="240"/>
        <w:ind w:hanging="0" w:start="0" w:end="0"/>
        <w:jc w:val="center"/>
        <w:rPr/>
      </w:pPr>
      <w:r>
        <w:rPr>
          <w:rFonts w:ascii="Times New Roman" w:hAnsi="Times New Roman" w:cs="Times New Roman" w:eastAsia="黑体"/>
          <w:b/>
          <w:color w:val="000000"/>
          <w:sz w:val="52"/>
        </w:rPr>
        <w:t>课题</w:t>
      </w:r>
      <w:r>
        <w:rPr>
          <w:rFonts w:eastAsia="黑体" w:cs="Times New Roman"/>
          <w:b/>
          <w:color w:val="000000"/>
          <w:sz w:val="52"/>
        </w:rPr>
        <w:t>4</w:t>
      </w:r>
      <w:r>
        <w:rPr>
          <w:rFonts w:ascii="Times New Roman" w:hAnsi="Times New Roman" w:cs="Times New Roman" w:eastAsia="黑体"/>
          <w:b/>
          <w:color w:val="000000"/>
          <w:sz w:val="52"/>
        </w:rPr>
        <w:t>实施方案</w:t>
      </w:r>
    </w:p>
    <w:p>
      <w:pPr>
        <w:pStyle w:val="Normal"/>
        <w:spacing w:lineRule="auto" w:line="288" w:before="120" w:after="240"/>
        <w:ind w:hanging="0" w:start="0" w:end="0"/>
        <w:jc w:val="center"/>
        <w:rPr/>
      </w:pPr>
      <w:r>
        <w:rPr>
          <w:rFonts w:ascii="Times New Roman" w:hAnsi="Times New Roman" w:cs="Times New Roman" w:eastAsia="黑体"/>
          <w:b/>
          <w:color w:val="000000"/>
          <w:sz w:val="44"/>
        </w:rPr>
        <w:t>支撑电网中长期规划的负荷预测模块研发与应用</w:t>
      </w:r>
    </w:p>
    <w:p>
      <w:pPr>
        <w:pStyle w:val="Normal"/>
        <w:spacing w:lineRule="auto" w:line="288" w:before="80" w:after="560"/>
        <w:ind w:hanging="0" w:start="0" w:end="0"/>
        <w:jc w:val="center"/>
        <w:rPr/>
      </w:pPr>
      <w:r>
        <w:rPr>
          <w:rFonts w:eastAsia="黑体" w:cs="Times New Roman"/>
          <w:b/>
          <w:color w:val="000000"/>
          <w:sz w:val="32"/>
        </w:rPr>
        <w:t>V1.1.4</w:t>
      </w:r>
    </w:p>
    <w:tbl>
      <w:tblPr>
        <w:tblStyle w:val="TableNormal"/>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vAlign w:val="center"/>
          </w:tcPr>
          <w:p>
            <w:pPr>
              <w:pStyle w:val="Normal"/>
              <w:suppressAutoHyphens w:val="true"/>
              <w:spacing w:lineRule="auto" w:line="240" w:before="0" w:after="0"/>
              <w:ind w:hanging="0"/>
              <w:jc w:val="start"/>
              <w:rPr/>
            </w:pPr>
            <w:r>
              <w:rPr>
                <w:rFonts w:ascii="Times New Roman" w:hAnsi="Times New Roman" w:cs="Times New Roman" w:eastAsia="黑体"/>
                <w:b/>
                <w:color w:val="000000"/>
                <w:sz w:val="28"/>
              </w:rPr>
              <w:t>项目名称</w:t>
            </w:r>
          </w:p>
        </w:tc>
        <w:tc>
          <w:tcPr>
            <w:tcW w:w="4478" w:type="dxa"/>
            <w:tcBorders/>
            <w:vAlign w:val="center"/>
          </w:tcPr>
          <w:p>
            <w:pPr>
              <w:pStyle w:val="Normal"/>
              <w:suppressAutoHyphens w:val="true"/>
              <w:spacing w:lineRule="auto" w:line="240" w:before="0" w:after="0"/>
              <w:ind w:hanging="0"/>
              <w:jc w:val="start"/>
              <w:rPr/>
            </w:pPr>
            <w:r>
              <w:rPr>
                <w:rFonts w:ascii="Times New Roman" w:hAnsi="Times New Roman" w:cs="Times New Roman"/>
                <w:b w:val="false"/>
                <w:color w:val="000000"/>
                <w:sz w:val="28"/>
              </w:rPr>
              <w:t>电能替代背景下新型负荷特性分析与中长期发展趋势预测技术</w:t>
            </w:r>
          </w:p>
        </w:tc>
      </w:tr>
      <w:tr>
        <w:trPr>
          <w:cantSplit w:val="true"/>
        </w:trPr>
        <w:tc>
          <w:tcPr>
            <w:tcW w:w="4479" w:type="dxa"/>
            <w:tcBorders/>
            <w:vAlign w:val="center"/>
          </w:tcPr>
          <w:p>
            <w:pPr>
              <w:pStyle w:val="Normal"/>
              <w:suppressAutoHyphens w:val="true"/>
              <w:spacing w:lineRule="auto" w:line="240" w:before="0" w:after="0"/>
              <w:ind w:hanging="0"/>
              <w:jc w:val="start"/>
              <w:rPr/>
            </w:pPr>
            <w:r>
              <w:rPr>
                <w:rFonts w:ascii="Times New Roman" w:hAnsi="Times New Roman" w:cs="Times New Roman" w:eastAsia="黑体"/>
                <w:b/>
                <w:color w:val="000000"/>
                <w:sz w:val="28"/>
              </w:rPr>
              <w:t>课题名称</w:t>
            </w:r>
          </w:p>
        </w:tc>
        <w:tc>
          <w:tcPr>
            <w:tcW w:w="4478" w:type="dxa"/>
            <w:tcBorders/>
            <w:vAlign w:val="center"/>
          </w:tcPr>
          <w:p>
            <w:pPr>
              <w:pStyle w:val="Normal"/>
              <w:suppressAutoHyphens w:val="true"/>
              <w:spacing w:lineRule="auto" w:line="240" w:before="0" w:after="0"/>
              <w:ind w:hanging="0"/>
              <w:jc w:val="start"/>
              <w:rPr/>
            </w:pPr>
            <w:r>
              <w:rPr>
                <w:rFonts w:ascii="Times New Roman" w:hAnsi="Times New Roman" w:cs="Times New Roman"/>
                <w:b w:val="false"/>
                <w:color w:val="000000"/>
                <w:sz w:val="28"/>
              </w:rPr>
              <w:t>支撑电网中长期规划的负荷预测模块研发与应用</w:t>
            </w:r>
          </w:p>
        </w:tc>
      </w:tr>
      <w:tr>
        <w:trPr>
          <w:cantSplit w:val="true"/>
        </w:trPr>
        <w:tc>
          <w:tcPr>
            <w:tcW w:w="4479" w:type="dxa"/>
            <w:tcBorders/>
            <w:vAlign w:val="center"/>
          </w:tcPr>
          <w:p>
            <w:pPr>
              <w:pStyle w:val="Normal"/>
              <w:suppressAutoHyphens w:val="true"/>
              <w:spacing w:lineRule="auto" w:line="240" w:before="0" w:after="0"/>
              <w:ind w:hanging="0"/>
              <w:jc w:val="start"/>
              <w:rPr/>
            </w:pPr>
            <w:r>
              <w:rPr>
                <w:rFonts w:ascii="Times New Roman" w:hAnsi="Times New Roman" w:cs="Times New Roman" w:eastAsia="黑体"/>
                <w:b/>
                <w:color w:val="000000"/>
                <w:sz w:val="28"/>
              </w:rPr>
              <w:t>文件性质</w:t>
            </w:r>
          </w:p>
        </w:tc>
        <w:tc>
          <w:tcPr>
            <w:tcW w:w="4478" w:type="dxa"/>
            <w:tcBorders/>
            <w:vAlign w:val="center"/>
          </w:tcPr>
          <w:p>
            <w:pPr>
              <w:pStyle w:val="Normal"/>
              <w:suppressAutoHyphens w:val="true"/>
              <w:spacing w:lineRule="auto" w:line="240" w:before="0" w:after="0"/>
              <w:ind w:hanging="0"/>
              <w:jc w:val="start"/>
              <w:rPr/>
            </w:pPr>
            <w:r>
              <w:rPr>
                <w:rFonts w:ascii="Times New Roman" w:hAnsi="Times New Roman" w:cs="Times New Roman"/>
                <w:b w:val="false"/>
                <w:color w:val="000000"/>
                <w:sz w:val="28"/>
              </w:rPr>
              <w:t>实施方案</w:t>
            </w:r>
          </w:p>
        </w:tc>
      </w:tr>
      <w:tr>
        <w:trPr>
          <w:cantSplit w:val="true"/>
        </w:trPr>
        <w:tc>
          <w:tcPr>
            <w:tcW w:w="4479" w:type="dxa"/>
            <w:tcBorders/>
            <w:vAlign w:val="center"/>
          </w:tcPr>
          <w:p>
            <w:pPr>
              <w:pStyle w:val="Normal"/>
              <w:suppressAutoHyphens w:val="true"/>
              <w:spacing w:lineRule="auto" w:line="240" w:before="0" w:after="0"/>
              <w:ind w:hanging="0"/>
              <w:jc w:val="start"/>
              <w:rPr/>
            </w:pPr>
            <w:r>
              <w:rPr>
                <w:rFonts w:ascii="Times New Roman" w:hAnsi="Times New Roman" w:cs="Times New Roman" w:eastAsia="黑体"/>
                <w:b/>
                <w:color w:val="000000"/>
                <w:sz w:val="28"/>
              </w:rPr>
              <w:t>版本号</w:t>
            </w:r>
          </w:p>
        </w:tc>
        <w:tc>
          <w:tcPr>
            <w:tcW w:w="4478" w:type="dxa"/>
            <w:tcBorders/>
            <w:vAlign w:val="center"/>
          </w:tcPr>
          <w:p>
            <w:pPr>
              <w:pStyle w:val="-"/>
              <w:jc w:val="center"/>
              <w:rPr/>
            </w:pPr>
            <w:r>
              <w:rPr/>
              <w:t>V1.1.4</w:t>
            </w:r>
          </w:p>
        </w:tc>
      </w:tr>
    </w:tbl>
    <w:p>
      <w:pPr>
        <w:pStyle w:val="Normal"/>
        <w:spacing w:lineRule="auto" w:line="288" w:before="1360" w:after="120"/>
        <w:ind w:hanging="0" w:start="0" w:end="0"/>
        <w:jc w:val="center"/>
        <w:rPr/>
      </w:pPr>
      <w:r>
        <w:rPr>
          <w:rFonts w:ascii="Times New Roman" w:hAnsi="Times New Roman" w:cs="Times New Roman" w:eastAsia="黑体"/>
          <w:b/>
          <w:color w:val="000000"/>
          <w:sz w:val="32"/>
        </w:rPr>
        <w:t>北京清能互联科技有限公司</w:t>
      </w:r>
    </w:p>
    <w:p>
      <w:pPr>
        <w:pStyle w:val="Normal"/>
        <w:spacing w:lineRule="auto" w:line="288" w:before="0" w:after="0"/>
        <w:ind w:hanging="0" w:start="0" w:end="0"/>
        <w:jc w:val="center"/>
        <w:rPr/>
      </w:pPr>
      <w:r>
        <w:rPr>
          <w:rFonts w:eastAsia="仿宋" w:cs="Times New Roman"/>
          <w:b w:val="false"/>
          <w:color w:val="000000"/>
          <w:sz w:val="32"/>
        </w:rPr>
        <w:t>2026</w:t>
      </w:r>
      <w:r>
        <w:rPr>
          <w:rFonts w:ascii="Times New Roman" w:hAnsi="Times New Roman" w:cs="Times New Roman"/>
          <w:b w:val="false"/>
          <w:color w:val="000000"/>
          <w:sz w:val="32"/>
        </w:rPr>
        <w:t>年</w:t>
      </w:r>
      <w:r>
        <w:rPr>
          <w:rFonts w:eastAsia="仿宋" w:cs="Times New Roman"/>
          <w:b w:val="false"/>
          <w:color w:val="000000"/>
          <w:sz w:val="32"/>
        </w:rPr>
        <w:t>8</w:t>
      </w:r>
      <w:r>
        <w:rPr>
          <w:rFonts w:ascii="Times New Roman" w:hAnsi="Times New Roman" w:cs="Times New Roman"/>
          <w:b w:val="false"/>
          <w:color w:val="000000"/>
          <w:sz w:val="32"/>
        </w:rPr>
        <w:t>月</w:t>
      </w:r>
    </w:p>
    <w:p>
      <w:pPr>
        <w:pStyle w:val="Normal"/>
        <w:ind w:hanging="0"/>
        <w:rPr/>
      </w:pPr>
      <w:r>
        <w:rPr/>
      </w:r>
      <w:r>
        <w:br w:type="page"/>
      </w:r>
    </w:p>
    <w:p>
      <w:pPr>
        <w:pStyle w:val="FrontMatterTitle"/>
        <w:keepNext w:val="true"/>
        <w:spacing w:before="0" w:after="100"/>
        <w:ind w:hanging="0"/>
        <w:rPr/>
      </w:pPr>
      <w:r>
        <w:rPr>
          <w:rFonts w:ascii="Times New Roman" w:hAnsi="Times New Roman"/>
          <w:b/>
          <w:color w:val="000000"/>
          <w:sz w:val="32"/>
        </w:rPr>
        <w:t>编制说明</w:t>
      </w:r>
    </w:p>
    <w:p>
      <w:pPr>
        <w:pStyle w:val="Style5"/>
        <w:spacing w:lineRule="auto" w:line="360" w:before="0" w:after="0"/>
        <w:ind w:firstLine="480" w:start="0" w:end="0"/>
        <w:jc w:val="both"/>
        <w:rPr/>
      </w:pPr>
      <w:r>
        <w:rPr>
          <w:rFonts w:ascii="Times New Roman" w:hAnsi="Times New Roman" w:cs="Times New Roman"/>
          <w:b w:val="false"/>
          <w:color w:val="000000"/>
          <w:sz w:val="24"/>
        </w:rPr>
        <w:t>本实施方案依据项目可行性研究报告中课题</w:t>
      </w:r>
      <w:r>
        <w:rPr>
          <w:rFonts w:eastAsia="仿宋" w:cs="Times New Roman"/>
          <w:b w:val="false"/>
          <w:color w:val="000000"/>
          <w:sz w:val="24"/>
        </w:rPr>
        <w:t>4“</w:t>
      </w:r>
      <w:r>
        <w:rPr>
          <w:rFonts w:ascii="Times New Roman" w:hAnsi="Times New Roman" w:cs="Times New Roman"/>
          <w:b w:val="false"/>
          <w:color w:val="000000"/>
          <w:sz w:val="24"/>
        </w:rPr>
        <w:t>支撑电网中长期规划的负荷预测模块研发与应用”的研究内容编制。方案围绕可研确定的三项研究任务展开：一是研发融合多源数据与不确定性分析的中长期负荷预测模块；二是在高电气化工业基地和电动汽车高渗透率城市开展典型区域验证；三是基于典型区域验证结果开展规划方案源荷匹配度分析与提升研究。</w:t>
      </w:r>
    </w:p>
    <w:p>
      <w:pPr>
        <w:pStyle w:val="Style5"/>
        <w:spacing w:lineRule="auto" w:line="360" w:before="0" w:after="0"/>
        <w:ind w:firstLine="480" w:start="0" w:end="0"/>
        <w:jc w:val="both"/>
        <w:rPr/>
      </w:pPr>
      <w:r>
        <w:rPr>
          <w:rFonts w:ascii="Times New Roman" w:hAnsi="Times New Roman" w:cs="Times New Roman"/>
          <w:b w:val="false"/>
          <w:color w:val="000000"/>
          <w:sz w:val="24"/>
        </w:rPr>
        <w:t>本方案采用“研究任务牵引、成果集成落地、典型区域验证、规划应用反馈”的组织方式，重点明确预测模块的功能需求、数据与模型衔接方式、典型区域验证内容、源荷匹配评估方法以及成果标准。软件建设按照最小可实现闭环进行设计，以确保区域数据能够导入、模型能够调用、预测结果能够展示、规划方案能够比较、分析成果能够输出。</w:t>
      </w:r>
    </w:p>
    <w:p>
      <w:pPr>
        <w:pStyle w:val="Style5"/>
        <w:spacing w:lineRule="auto" w:line="360" w:before="0" w:after="0"/>
        <w:ind w:firstLine="480" w:start="0" w:end="0"/>
        <w:jc w:val="both"/>
        <w:rPr/>
      </w:pPr>
      <w:r>
        <w:rPr/>
        <w:t>本文件为</w:t>
      </w:r>
      <w:r>
        <w:rPr/>
        <w:t>V1.1.4</w:t>
      </w:r>
      <w:r>
        <w:rPr/>
        <w:t>版实施方案，在</w:t>
      </w:r>
      <w:r>
        <w:rPr/>
        <w:t>V1.1.3</w:t>
      </w:r>
      <w:r>
        <w:rPr/>
        <w:t>版基础上进一步细化任务</w:t>
      </w:r>
      <w:r>
        <w:rPr/>
        <w:t>2</w:t>
      </w:r>
      <w:r>
        <w:rPr/>
        <w:t>典型区域验证方案。围绕“数据适配—模型适用—结果验证—问题识别—参数校准—重新预测—反馈优化”构建验证闭环，完善高电气化工业基地和电动汽车高渗透率城市两类区域的验证重点、数据准备、情景与模型适用性配置、预测结果验证方法、校准反馈机制和成果要求。</w:t>
      </w:r>
      <w:r>
        <w:br w:type="page"/>
      </w:r>
    </w:p>
    <w:p>
      <w:pPr>
        <w:pStyle w:val="FrontMatterTitle"/>
        <w:keepNext w:val="true"/>
        <w:spacing w:before="200" w:after="100"/>
        <w:ind w:hanging="0"/>
        <w:rPr/>
      </w:pPr>
      <w:r>
        <w:rPr>
          <w:rFonts w:ascii="Times New Roman" w:hAnsi="Times New Roman"/>
          <w:b/>
          <w:color w:val="000000"/>
          <w:sz w:val="32"/>
        </w:rPr>
        <w:t>目录</w:t>
      </w:r>
    </w:p>
    <w:sdt>
      <w:sdtPr>
        <w:docPartObj>
          <w:docPartGallery w:val="Table of Contents"/>
          <w:docPartUnique w:val="true"/>
        </w:docPartObj>
      </w:sdtPr>
      <w:sdtContent>
        <w:p>
          <w:pPr>
            <w:pStyle w:val="TOC1"/>
            <w:tabs>
              <w:tab w:val="clear" w:pos="8845"/>
              <w:tab w:val="right" w:pos="8844" w:leader="dot"/>
            </w:tabs>
            <w:rPr/>
          </w:pPr>
          <w:r>
            <w:fldChar w:fldCharType="begin"/>
          </w:r>
          <w:r>
            <w:rPr>
              <w:webHidden/>
              <w:rStyle w:val="IndexLink"/>
            </w:rPr>
            <w:instrText xml:space="preserve"> TOC \z \o "1-2" \u \h</w:instrText>
          </w:r>
          <w:r>
            <w:rPr>
              <w:webHidden/>
              <w:rStyle w:val="IndexLink"/>
            </w:rPr>
            <w:fldChar w:fldCharType="separate"/>
          </w:r>
          <w:hyperlink w:anchor="__RefHeading___Toc3910_1443650120">
            <w:r>
              <w:rPr>
                <w:webHidden/>
                <w:rStyle w:val="IndexLink"/>
              </w:rPr>
              <w:t xml:space="preserve">1 </w:t>
            </w:r>
            <w:r>
              <w:rPr>
                <w:rStyle w:val="IndexLink"/>
              </w:rPr>
              <w:t>课题概述</w:t>
            </w:r>
            <w:r>
              <w:rPr>
                <w:rStyle w:val="IndexLink"/>
              </w:rPr>
              <w:tab/>
              <w:t>5</w:t>
            </w:r>
          </w:hyperlink>
        </w:p>
        <w:p>
          <w:pPr>
            <w:pStyle w:val="TOC2"/>
            <w:tabs>
              <w:tab w:val="clear" w:pos="8562"/>
              <w:tab w:val="right" w:pos="8844" w:leader="dot"/>
            </w:tabs>
            <w:rPr/>
          </w:pPr>
          <w:hyperlink w:anchor="__RefHeading___Toc3912_1443650120">
            <w:r>
              <w:rPr>
                <w:webHidden/>
                <w:rStyle w:val="IndexLink"/>
              </w:rPr>
              <w:t xml:space="preserve">1.1 </w:t>
            </w:r>
            <w:r>
              <w:rPr>
                <w:rStyle w:val="IndexLink"/>
              </w:rPr>
              <w:t>研究背景</w:t>
            </w:r>
            <w:r>
              <w:rPr>
                <w:rStyle w:val="IndexLink"/>
              </w:rPr>
              <w:tab/>
              <w:t>5</w:t>
            </w:r>
          </w:hyperlink>
        </w:p>
        <w:p>
          <w:pPr>
            <w:pStyle w:val="TOC2"/>
            <w:tabs>
              <w:tab w:val="clear" w:pos="8562"/>
              <w:tab w:val="right" w:pos="8844" w:leader="dot"/>
            </w:tabs>
            <w:rPr/>
          </w:pPr>
          <w:hyperlink w:anchor="__RefHeading___Toc3914_1443650120">
            <w:r>
              <w:rPr>
                <w:webHidden/>
                <w:rStyle w:val="IndexLink"/>
              </w:rPr>
              <w:t xml:space="preserve">1.2 </w:t>
            </w:r>
            <w:r>
              <w:rPr>
                <w:rStyle w:val="IndexLink"/>
              </w:rPr>
              <w:t>课题定位</w:t>
            </w:r>
            <w:r>
              <w:rPr>
                <w:rStyle w:val="IndexLink"/>
              </w:rPr>
              <w:tab/>
              <w:t>5</w:t>
            </w:r>
          </w:hyperlink>
        </w:p>
        <w:p>
          <w:pPr>
            <w:pStyle w:val="TOC2"/>
            <w:tabs>
              <w:tab w:val="clear" w:pos="8562"/>
              <w:tab w:val="right" w:pos="8844" w:leader="dot"/>
            </w:tabs>
            <w:rPr/>
          </w:pPr>
          <w:hyperlink w:anchor="__RefHeading___Toc3916_1443650120">
            <w:r>
              <w:rPr>
                <w:webHidden/>
                <w:rStyle w:val="IndexLink"/>
              </w:rPr>
              <w:t xml:space="preserve">1.3 </w:t>
            </w:r>
            <w:r>
              <w:rPr>
                <w:rStyle w:val="IndexLink"/>
              </w:rPr>
              <w:t>编制依据</w:t>
            </w:r>
            <w:r>
              <w:rPr>
                <w:rStyle w:val="IndexLink"/>
              </w:rPr>
              <w:tab/>
              <w:t>5</w:t>
            </w:r>
          </w:hyperlink>
        </w:p>
        <w:p>
          <w:pPr>
            <w:pStyle w:val="TOC2"/>
            <w:tabs>
              <w:tab w:val="clear" w:pos="8562"/>
              <w:tab w:val="right" w:pos="8844" w:leader="dot"/>
            </w:tabs>
            <w:rPr/>
          </w:pPr>
          <w:hyperlink w:anchor="__RefHeading___Toc3918_1443650120">
            <w:r>
              <w:rPr>
                <w:webHidden/>
                <w:rStyle w:val="IndexLink"/>
              </w:rPr>
              <w:t xml:space="preserve">1.4 </w:t>
            </w:r>
            <w:r>
              <w:rPr>
                <w:rStyle w:val="IndexLink"/>
              </w:rPr>
              <w:t>主要术语</w:t>
            </w:r>
            <w:r>
              <w:rPr>
                <w:rStyle w:val="IndexLink"/>
              </w:rPr>
              <w:tab/>
              <w:t>6</w:t>
            </w:r>
          </w:hyperlink>
        </w:p>
        <w:p>
          <w:pPr>
            <w:pStyle w:val="TOC1"/>
            <w:tabs>
              <w:tab w:val="clear" w:pos="8845"/>
              <w:tab w:val="right" w:pos="8844" w:leader="dot"/>
            </w:tabs>
            <w:rPr/>
          </w:pPr>
          <w:hyperlink w:anchor="__RefHeading___Toc3920_1443650120">
            <w:r>
              <w:rPr>
                <w:webHidden/>
                <w:rStyle w:val="IndexLink"/>
              </w:rPr>
              <w:t xml:space="preserve">2 </w:t>
            </w:r>
            <w:r>
              <w:rPr>
                <w:rStyle w:val="IndexLink"/>
              </w:rPr>
              <w:t>研究目标与总体思路</w:t>
            </w:r>
            <w:r>
              <w:rPr>
                <w:rStyle w:val="IndexLink"/>
              </w:rPr>
              <w:tab/>
              <w:t>6</w:t>
            </w:r>
          </w:hyperlink>
        </w:p>
        <w:p>
          <w:pPr>
            <w:pStyle w:val="TOC2"/>
            <w:tabs>
              <w:tab w:val="clear" w:pos="8562"/>
              <w:tab w:val="right" w:pos="8844" w:leader="dot"/>
            </w:tabs>
            <w:rPr/>
          </w:pPr>
          <w:hyperlink w:anchor="__RefHeading___Toc3922_1443650120">
            <w:r>
              <w:rPr>
                <w:webHidden/>
                <w:rStyle w:val="IndexLink"/>
              </w:rPr>
              <w:t xml:space="preserve">2.1 </w:t>
            </w:r>
            <w:r>
              <w:rPr>
                <w:rStyle w:val="IndexLink"/>
              </w:rPr>
              <w:t>总体研究目标</w:t>
            </w:r>
            <w:r>
              <w:rPr>
                <w:rStyle w:val="IndexLink"/>
              </w:rPr>
              <w:tab/>
              <w:t>6</w:t>
            </w:r>
          </w:hyperlink>
        </w:p>
        <w:p>
          <w:pPr>
            <w:pStyle w:val="TOC2"/>
            <w:tabs>
              <w:tab w:val="clear" w:pos="8562"/>
              <w:tab w:val="right" w:pos="8844" w:leader="dot"/>
            </w:tabs>
            <w:rPr/>
          </w:pPr>
          <w:hyperlink w:anchor="__RefHeading___Toc3924_1443650120">
            <w:r>
              <w:rPr>
                <w:webHidden/>
                <w:rStyle w:val="IndexLink"/>
              </w:rPr>
              <w:t xml:space="preserve">2.2 </w:t>
            </w:r>
            <w:r>
              <w:rPr>
                <w:rStyle w:val="IndexLink"/>
              </w:rPr>
              <w:t>具体研究目标</w:t>
            </w:r>
            <w:r>
              <w:rPr>
                <w:rStyle w:val="IndexLink"/>
              </w:rPr>
              <w:tab/>
              <w:t>7</w:t>
            </w:r>
          </w:hyperlink>
        </w:p>
        <w:p>
          <w:pPr>
            <w:pStyle w:val="TOC2"/>
            <w:tabs>
              <w:tab w:val="clear" w:pos="8562"/>
              <w:tab w:val="right" w:pos="8844" w:leader="dot"/>
            </w:tabs>
            <w:rPr/>
          </w:pPr>
          <w:hyperlink w:anchor="__RefHeading___Toc3926_1443650120">
            <w:r>
              <w:rPr>
                <w:webHidden/>
                <w:rStyle w:val="IndexLink"/>
              </w:rPr>
              <w:t xml:space="preserve">2.3 </w:t>
            </w:r>
            <w:r>
              <w:rPr>
                <w:rStyle w:val="IndexLink"/>
              </w:rPr>
              <w:t>总体实施思路</w:t>
            </w:r>
            <w:r>
              <w:rPr>
                <w:rStyle w:val="IndexLink"/>
              </w:rPr>
              <w:tab/>
              <w:t>7</w:t>
            </w:r>
          </w:hyperlink>
        </w:p>
        <w:p>
          <w:pPr>
            <w:pStyle w:val="TOC2"/>
            <w:tabs>
              <w:tab w:val="clear" w:pos="8562"/>
              <w:tab w:val="right" w:pos="8844" w:leader="dot"/>
            </w:tabs>
            <w:rPr/>
          </w:pPr>
          <w:hyperlink w:anchor="__RefHeading___Toc3928_1443650120">
            <w:r>
              <w:rPr>
                <w:webHidden/>
                <w:rStyle w:val="IndexLink"/>
              </w:rPr>
              <w:t xml:space="preserve">2.4 </w:t>
            </w:r>
            <w:r>
              <w:rPr>
                <w:rStyle w:val="IndexLink"/>
              </w:rPr>
              <w:t>三项研究任务及成果关系</w:t>
            </w:r>
            <w:r>
              <w:rPr>
                <w:rStyle w:val="IndexLink"/>
              </w:rPr>
              <w:tab/>
              <w:t>8</w:t>
            </w:r>
          </w:hyperlink>
        </w:p>
        <w:p>
          <w:pPr>
            <w:pStyle w:val="TOC1"/>
            <w:tabs>
              <w:tab w:val="clear" w:pos="8845"/>
              <w:tab w:val="right" w:pos="8844" w:leader="dot"/>
            </w:tabs>
            <w:rPr/>
          </w:pPr>
          <w:hyperlink w:anchor="__RefHeading___Toc3930_1443650120">
            <w:r>
              <w:rPr>
                <w:webHidden/>
                <w:rStyle w:val="IndexLink"/>
              </w:rPr>
              <w:t xml:space="preserve">3 </w:t>
            </w:r>
            <w:r>
              <w:rPr>
                <w:rStyle w:val="IndexLink"/>
              </w:rPr>
              <w:t>课题总体技术方案</w:t>
            </w:r>
            <w:r>
              <w:rPr>
                <w:rStyle w:val="IndexLink"/>
              </w:rPr>
              <w:tab/>
              <w:t>8</w:t>
            </w:r>
          </w:hyperlink>
        </w:p>
        <w:p>
          <w:pPr>
            <w:pStyle w:val="TOC2"/>
            <w:tabs>
              <w:tab w:val="clear" w:pos="8562"/>
              <w:tab w:val="right" w:pos="8844" w:leader="dot"/>
            </w:tabs>
            <w:rPr/>
          </w:pPr>
          <w:hyperlink w:anchor="__RefHeading___Toc3932_1443650120">
            <w:r>
              <w:rPr>
                <w:webHidden/>
                <w:rStyle w:val="IndexLink"/>
              </w:rPr>
              <w:t xml:space="preserve">3.1 </w:t>
            </w:r>
            <w:r>
              <w:rPr>
                <w:rStyle w:val="IndexLink"/>
              </w:rPr>
              <w:t>总体技术路线</w:t>
            </w:r>
            <w:r>
              <w:rPr>
                <w:rStyle w:val="IndexLink"/>
              </w:rPr>
              <w:tab/>
              <w:t>8</w:t>
            </w:r>
          </w:hyperlink>
        </w:p>
        <w:p>
          <w:pPr>
            <w:pStyle w:val="TOC2"/>
            <w:tabs>
              <w:tab w:val="clear" w:pos="8562"/>
              <w:tab w:val="right" w:pos="8844" w:leader="dot"/>
            </w:tabs>
            <w:rPr/>
          </w:pPr>
          <w:hyperlink w:anchor="__RefHeading___Toc3934_1443650120">
            <w:r>
              <w:rPr>
                <w:webHidden/>
                <w:rStyle w:val="IndexLink"/>
              </w:rPr>
              <w:t xml:space="preserve">3.2 </w:t>
            </w:r>
            <w:r>
              <w:rPr>
                <w:rStyle w:val="IndexLink"/>
              </w:rPr>
              <w:t>前序课题成果衔接关系</w:t>
            </w:r>
            <w:r>
              <w:rPr>
                <w:rStyle w:val="IndexLink"/>
              </w:rPr>
              <w:tab/>
              <w:t>8</w:t>
            </w:r>
          </w:hyperlink>
        </w:p>
        <w:p>
          <w:pPr>
            <w:pStyle w:val="TOC2"/>
            <w:tabs>
              <w:tab w:val="clear" w:pos="8562"/>
              <w:tab w:val="right" w:pos="8844" w:leader="dot"/>
            </w:tabs>
            <w:rPr/>
          </w:pPr>
          <w:hyperlink w:anchor="__RefHeading___Toc3936_1443650120">
            <w:r>
              <w:rPr>
                <w:webHidden/>
                <w:rStyle w:val="IndexLink"/>
              </w:rPr>
              <w:t xml:space="preserve">3.3 </w:t>
            </w:r>
            <w:r>
              <w:rPr>
                <w:rStyle w:val="IndexLink"/>
              </w:rPr>
              <w:t>业务处理流程</w:t>
            </w:r>
            <w:r>
              <w:rPr>
                <w:rStyle w:val="IndexLink"/>
              </w:rPr>
              <w:tab/>
              <w:t>11</w:t>
            </w:r>
          </w:hyperlink>
        </w:p>
        <w:p>
          <w:pPr>
            <w:pStyle w:val="TOC2"/>
            <w:tabs>
              <w:tab w:val="clear" w:pos="8562"/>
              <w:tab w:val="right" w:pos="8844" w:leader="dot"/>
            </w:tabs>
            <w:rPr/>
          </w:pPr>
          <w:hyperlink w:anchor="__RefHeading___Toc3938_1443650120">
            <w:r>
              <w:rPr>
                <w:webHidden/>
                <w:rStyle w:val="IndexLink"/>
              </w:rPr>
              <w:t xml:space="preserve">3.4 </w:t>
            </w:r>
            <w:r>
              <w:rPr>
                <w:rStyle w:val="IndexLink"/>
              </w:rPr>
              <w:t>数据、模型与结果流转</w:t>
            </w:r>
            <w:r>
              <w:rPr>
                <w:rStyle w:val="IndexLink"/>
              </w:rPr>
              <w:tab/>
              <w:t>13</w:t>
            </w:r>
          </w:hyperlink>
        </w:p>
        <w:p>
          <w:pPr>
            <w:pStyle w:val="TOC1"/>
            <w:tabs>
              <w:tab w:val="clear" w:pos="8845"/>
              <w:tab w:val="right" w:pos="8844" w:leader="dot"/>
            </w:tabs>
            <w:rPr/>
          </w:pPr>
          <w:hyperlink w:anchor="__RefHeading___Toc3940_1443650120">
            <w:r>
              <w:rPr>
                <w:webHidden/>
                <w:rStyle w:val="IndexLink"/>
              </w:rPr>
              <w:t xml:space="preserve">4 </w:t>
            </w:r>
            <w:r>
              <w:rPr>
                <w:rStyle w:val="IndexLink"/>
              </w:rPr>
              <w:t>任务</w:t>
            </w:r>
            <w:r>
              <w:rPr>
                <w:rStyle w:val="IndexLink"/>
              </w:rPr>
              <w:t>1</w:t>
            </w:r>
            <w:r>
              <w:rPr>
                <w:rStyle w:val="IndexLink"/>
              </w:rPr>
              <w:t>：融合多源数据与不确定性分析的中长期负荷预测模块研发</w:t>
            </w:r>
            <w:r>
              <w:rPr>
                <w:rStyle w:val="IndexLink"/>
              </w:rPr>
              <w:tab/>
              <w:t>13</w:t>
            </w:r>
          </w:hyperlink>
        </w:p>
        <w:p>
          <w:pPr>
            <w:pStyle w:val="TOC2"/>
            <w:tabs>
              <w:tab w:val="clear" w:pos="8562"/>
              <w:tab w:val="right" w:pos="8844" w:leader="dot"/>
            </w:tabs>
            <w:rPr/>
          </w:pPr>
          <w:hyperlink w:anchor="__RefHeading___Toc3942_1443650120">
            <w:r>
              <w:rPr>
                <w:webHidden/>
                <w:rStyle w:val="IndexLink"/>
              </w:rPr>
              <w:t xml:space="preserve">4.1 </w:t>
            </w:r>
            <w:r>
              <w:rPr>
                <w:rStyle w:val="IndexLink"/>
              </w:rPr>
              <w:t>任务目标</w:t>
            </w:r>
            <w:r>
              <w:rPr>
                <w:rStyle w:val="IndexLink"/>
              </w:rPr>
              <w:tab/>
              <w:t>13</w:t>
            </w:r>
          </w:hyperlink>
        </w:p>
        <w:p>
          <w:pPr>
            <w:pStyle w:val="TOC2"/>
            <w:tabs>
              <w:tab w:val="clear" w:pos="8562"/>
              <w:tab w:val="right" w:pos="8844" w:leader="dot"/>
            </w:tabs>
            <w:rPr/>
          </w:pPr>
          <w:hyperlink w:anchor="__RefHeading___Toc3944_1443650120">
            <w:r>
              <w:rPr>
                <w:webHidden/>
                <w:rStyle w:val="IndexLink"/>
              </w:rPr>
              <w:t xml:space="preserve">4.2 </w:t>
            </w:r>
            <w:r>
              <w:rPr>
                <w:rStyle w:val="IndexLink"/>
              </w:rPr>
              <w:t>功能架构</w:t>
            </w:r>
            <w:r>
              <w:rPr>
                <w:rStyle w:val="IndexLink"/>
              </w:rPr>
              <w:tab/>
              <w:t>14</w:t>
            </w:r>
          </w:hyperlink>
        </w:p>
        <w:p>
          <w:pPr>
            <w:pStyle w:val="TOC2"/>
            <w:tabs>
              <w:tab w:val="clear" w:pos="8562"/>
              <w:tab w:val="right" w:pos="8844" w:leader="dot"/>
            </w:tabs>
            <w:rPr/>
          </w:pPr>
          <w:hyperlink w:anchor="__RefHeading___Toc3946_1443650120">
            <w:r>
              <w:rPr>
                <w:webHidden/>
                <w:rStyle w:val="IndexLink"/>
              </w:rPr>
              <w:t xml:space="preserve">4.3 </w:t>
            </w:r>
            <w:r>
              <w:rPr>
                <w:rStyle w:val="IndexLink"/>
              </w:rPr>
              <w:t>项目与数据功能</w:t>
            </w:r>
            <w:r>
              <w:rPr>
                <w:rStyle w:val="IndexLink"/>
              </w:rPr>
              <w:tab/>
              <w:t>14</w:t>
            </w:r>
          </w:hyperlink>
        </w:p>
        <w:p>
          <w:pPr>
            <w:pStyle w:val="TOC2"/>
            <w:tabs>
              <w:tab w:val="clear" w:pos="8562"/>
              <w:tab w:val="right" w:pos="8844" w:leader="dot"/>
            </w:tabs>
            <w:rPr/>
          </w:pPr>
          <w:hyperlink w:anchor="__RefHeading___Toc3948_1443650120">
            <w:r>
              <w:rPr>
                <w:webHidden/>
                <w:rStyle w:val="IndexLink"/>
              </w:rPr>
              <w:t xml:space="preserve">4.4 </w:t>
            </w:r>
            <w:r>
              <w:rPr>
                <w:rStyle w:val="IndexLink"/>
              </w:rPr>
              <w:t>负荷特性分析功能</w:t>
            </w:r>
            <w:r>
              <w:rPr>
                <w:rStyle w:val="IndexLink"/>
              </w:rPr>
              <w:tab/>
              <w:t>15</w:t>
            </w:r>
          </w:hyperlink>
        </w:p>
        <w:p>
          <w:pPr>
            <w:pStyle w:val="TOC2"/>
            <w:tabs>
              <w:tab w:val="clear" w:pos="8562"/>
              <w:tab w:val="right" w:pos="8844" w:leader="dot"/>
            </w:tabs>
            <w:rPr/>
          </w:pPr>
          <w:hyperlink w:anchor="__RefHeading___Toc3950_1443650120">
            <w:r>
              <w:rPr>
                <w:webHidden/>
                <w:rStyle w:val="IndexLink"/>
              </w:rPr>
              <w:t xml:space="preserve">4.5 </w:t>
            </w:r>
            <w:r>
              <w:rPr>
                <w:rStyle w:val="IndexLink"/>
              </w:rPr>
              <w:t>情景参数配置功能</w:t>
            </w:r>
            <w:r>
              <w:rPr>
                <w:rStyle w:val="IndexLink"/>
              </w:rPr>
              <w:tab/>
              <w:t>16</w:t>
            </w:r>
          </w:hyperlink>
        </w:p>
        <w:p>
          <w:pPr>
            <w:pStyle w:val="TOC2"/>
            <w:tabs>
              <w:tab w:val="clear" w:pos="8562"/>
              <w:tab w:val="right" w:pos="8844" w:leader="dot"/>
            </w:tabs>
            <w:rPr/>
          </w:pPr>
          <w:hyperlink w:anchor="__RefHeading___Toc3952_1443650120">
            <w:r>
              <w:rPr>
                <w:webHidden/>
                <w:rStyle w:val="IndexLink"/>
              </w:rPr>
              <w:t xml:space="preserve">4.6 </w:t>
            </w:r>
            <w:r>
              <w:rPr>
                <w:rStyle w:val="IndexLink"/>
              </w:rPr>
              <w:t>中长期负荷预测功能</w:t>
            </w:r>
            <w:r>
              <w:rPr>
                <w:rStyle w:val="IndexLink"/>
              </w:rPr>
              <w:tab/>
              <w:t>16</w:t>
            </w:r>
          </w:hyperlink>
        </w:p>
        <w:p>
          <w:pPr>
            <w:pStyle w:val="TOC2"/>
            <w:tabs>
              <w:tab w:val="clear" w:pos="8562"/>
              <w:tab w:val="right" w:pos="8844" w:leader="dot"/>
            </w:tabs>
            <w:rPr/>
          </w:pPr>
          <w:hyperlink w:anchor="__RefHeading___Toc3954_1443650120">
            <w:r>
              <w:rPr>
                <w:webHidden/>
                <w:rStyle w:val="IndexLink"/>
              </w:rPr>
              <w:t xml:space="preserve">4.7 </w:t>
            </w:r>
            <w:r>
              <w:rPr>
                <w:rStyle w:val="IndexLink"/>
              </w:rPr>
              <w:t>预测结果动态更新功能</w:t>
            </w:r>
            <w:r>
              <w:rPr>
                <w:rStyle w:val="IndexLink"/>
              </w:rPr>
              <w:tab/>
              <w:t>19</w:t>
            </w:r>
          </w:hyperlink>
        </w:p>
        <w:p>
          <w:pPr>
            <w:pStyle w:val="TOC2"/>
            <w:tabs>
              <w:tab w:val="clear" w:pos="8562"/>
              <w:tab w:val="right" w:pos="8844" w:leader="dot"/>
            </w:tabs>
            <w:rPr/>
          </w:pPr>
          <w:hyperlink w:anchor="__RefHeading___Toc3956_1443650120">
            <w:r>
              <w:rPr>
                <w:webHidden/>
                <w:rStyle w:val="IndexLink"/>
              </w:rPr>
              <w:t xml:space="preserve">4.8 </w:t>
            </w:r>
            <w:r>
              <w:rPr>
                <w:rStyle w:val="IndexLink"/>
              </w:rPr>
              <w:t>结果展示与输出功能</w:t>
            </w:r>
            <w:r>
              <w:rPr>
                <w:rStyle w:val="IndexLink"/>
              </w:rPr>
              <w:tab/>
              <w:t>20</w:t>
            </w:r>
          </w:hyperlink>
        </w:p>
        <w:p>
          <w:pPr>
            <w:pStyle w:val="TOC1"/>
            <w:tabs>
              <w:tab w:val="clear" w:pos="8845"/>
              <w:tab w:val="right" w:pos="8844" w:leader="dot"/>
            </w:tabs>
            <w:rPr/>
          </w:pPr>
          <w:hyperlink w:anchor="__RefHeading___Toc3958_1443650120">
            <w:r>
              <w:rPr>
                <w:webHidden/>
                <w:rStyle w:val="IndexLink"/>
              </w:rPr>
              <w:t xml:space="preserve">5 </w:t>
            </w:r>
            <w:r>
              <w:rPr>
                <w:rStyle w:val="IndexLink"/>
              </w:rPr>
              <w:t>任务</w:t>
            </w:r>
            <w:r>
              <w:rPr>
                <w:rStyle w:val="IndexLink"/>
              </w:rPr>
              <w:t>2</w:t>
            </w:r>
            <w:r>
              <w:rPr>
                <w:rStyle w:val="IndexLink"/>
              </w:rPr>
              <w:t>：适配多情景及多重不确定因素的中长期负荷预测模块典型区域验证</w:t>
            </w:r>
            <w:r>
              <w:rPr>
                <w:rStyle w:val="IndexLink"/>
              </w:rPr>
              <w:tab/>
              <w:t>20</w:t>
            </w:r>
          </w:hyperlink>
        </w:p>
        <w:p>
          <w:pPr>
            <w:pStyle w:val="TOC2"/>
            <w:tabs>
              <w:tab w:val="clear" w:pos="8562"/>
              <w:tab w:val="right" w:pos="8844" w:leader="dot"/>
            </w:tabs>
            <w:rPr/>
          </w:pPr>
          <w:hyperlink w:anchor="__RefHeading___Toc5658_1700276777">
            <w:r>
              <w:rPr>
                <w:webHidden/>
                <w:rStyle w:val="IndexLink"/>
              </w:rPr>
              <w:t xml:space="preserve">5.1 </w:t>
            </w:r>
            <w:r>
              <w:rPr>
                <w:rStyle w:val="IndexLink"/>
              </w:rPr>
              <w:t>任务目标与验证边界</w:t>
            </w:r>
            <w:r>
              <w:rPr>
                <w:rStyle w:val="IndexLink"/>
              </w:rPr>
              <w:tab/>
              <w:t>20</w:t>
            </w:r>
          </w:hyperlink>
        </w:p>
        <w:p>
          <w:pPr>
            <w:pStyle w:val="TOC2"/>
            <w:tabs>
              <w:tab w:val="clear" w:pos="8562"/>
              <w:tab w:val="right" w:pos="8844" w:leader="dot"/>
            </w:tabs>
            <w:rPr/>
          </w:pPr>
          <w:hyperlink w:anchor="__RefHeading___Toc5660_1700276777">
            <w:r>
              <w:rPr>
                <w:webHidden/>
                <w:rStyle w:val="IndexLink"/>
              </w:rPr>
              <w:t xml:space="preserve">5.2 </w:t>
            </w:r>
            <w:r>
              <w:rPr>
                <w:rStyle w:val="IndexLink"/>
              </w:rPr>
              <w:t>典型区域验证总体流程</w:t>
            </w:r>
            <w:r>
              <w:rPr>
                <w:rStyle w:val="IndexLink"/>
              </w:rPr>
              <w:tab/>
              <w:t>21</w:t>
            </w:r>
          </w:hyperlink>
        </w:p>
        <w:p>
          <w:pPr>
            <w:pStyle w:val="TOC2"/>
            <w:tabs>
              <w:tab w:val="clear" w:pos="8562"/>
              <w:tab w:val="right" w:pos="8844" w:leader="dot"/>
            </w:tabs>
            <w:rPr/>
          </w:pPr>
          <w:hyperlink w:anchor="__RefHeading___Toc5662_1700276777">
            <w:r>
              <w:rPr>
                <w:webHidden/>
                <w:rStyle w:val="IndexLink"/>
              </w:rPr>
              <w:t xml:space="preserve">5.3 </w:t>
            </w:r>
            <w:r>
              <w:rPr>
                <w:rStyle w:val="IndexLink"/>
              </w:rPr>
              <w:t>高电气化工业基地验证</w:t>
            </w:r>
            <w:r>
              <w:rPr>
                <w:rStyle w:val="IndexLink"/>
              </w:rPr>
              <w:tab/>
              <w:t>21</w:t>
            </w:r>
          </w:hyperlink>
        </w:p>
        <w:p>
          <w:pPr>
            <w:pStyle w:val="TOC2"/>
            <w:tabs>
              <w:tab w:val="clear" w:pos="8562"/>
              <w:tab w:val="right" w:pos="8844" w:leader="dot"/>
            </w:tabs>
            <w:rPr/>
          </w:pPr>
          <w:hyperlink w:anchor="__RefHeading___Toc5664_1700276777">
            <w:r>
              <w:rPr>
                <w:webHidden/>
                <w:rStyle w:val="IndexLink"/>
              </w:rPr>
              <w:t xml:space="preserve">5.4 </w:t>
            </w:r>
            <w:r>
              <w:rPr>
                <w:rStyle w:val="IndexLink"/>
              </w:rPr>
              <w:t>电动汽车高渗透率城市验证</w:t>
            </w:r>
            <w:r>
              <w:rPr>
                <w:rStyle w:val="IndexLink"/>
              </w:rPr>
              <w:tab/>
              <w:t>23</w:t>
            </w:r>
          </w:hyperlink>
        </w:p>
        <w:p>
          <w:pPr>
            <w:pStyle w:val="TOC2"/>
            <w:tabs>
              <w:tab w:val="clear" w:pos="8562"/>
              <w:tab w:val="right" w:pos="8844" w:leader="dot"/>
            </w:tabs>
            <w:rPr/>
          </w:pPr>
          <w:hyperlink w:anchor="__RefHeading___Toc5666_1700276777">
            <w:r>
              <w:rPr>
                <w:webHidden/>
                <w:rStyle w:val="IndexLink"/>
              </w:rPr>
              <w:t xml:space="preserve">5.5 </w:t>
            </w:r>
            <w:r>
              <w:rPr>
                <w:rStyle w:val="IndexLink"/>
              </w:rPr>
              <w:t>预测结果验证方法</w:t>
            </w:r>
            <w:r>
              <w:rPr>
                <w:rStyle w:val="IndexLink"/>
              </w:rPr>
              <w:tab/>
              <w:t>25</w:t>
            </w:r>
          </w:hyperlink>
        </w:p>
        <w:p>
          <w:pPr>
            <w:pStyle w:val="TOC2"/>
            <w:tabs>
              <w:tab w:val="clear" w:pos="8562"/>
              <w:tab w:val="right" w:pos="8844" w:leader="dot"/>
            </w:tabs>
            <w:rPr/>
          </w:pPr>
          <w:hyperlink w:anchor="__RefHeading___Toc5668_1700276777">
            <w:r>
              <w:rPr>
                <w:webHidden/>
                <w:rStyle w:val="IndexLink"/>
              </w:rPr>
              <w:t xml:space="preserve">5.6 </w:t>
            </w:r>
            <w:r>
              <w:rPr>
                <w:rStyle w:val="IndexLink"/>
              </w:rPr>
              <w:t>问题识别、校准与反馈机制</w:t>
            </w:r>
            <w:r>
              <w:rPr>
                <w:rStyle w:val="IndexLink"/>
              </w:rPr>
              <w:tab/>
              <w:t>25</w:t>
            </w:r>
          </w:hyperlink>
        </w:p>
        <w:p>
          <w:pPr>
            <w:pStyle w:val="TOC2"/>
            <w:tabs>
              <w:tab w:val="clear" w:pos="8562"/>
              <w:tab w:val="right" w:pos="8844" w:leader="dot"/>
            </w:tabs>
            <w:rPr/>
          </w:pPr>
          <w:hyperlink w:anchor="__RefHeading___Toc5670_1700276777">
            <w:r>
              <w:rPr>
                <w:webHidden/>
                <w:rStyle w:val="IndexLink"/>
              </w:rPr>
              <w:t xml:space="preserve">5.7 </w:t>
            </w:r>
            <w:r>
              <w:rPr>
                <w:rStyle w:val="IndexLink"/>
              </w:rPr>
              <w:t>典型区域验证成果</w:t>
            </w:r>
            <w:r>
              <w:rPr>
                <w:rStyle w:val="IndexLink"/>
              </w:rPr>
              <w:tab/>
              <w:t>26</w:t>
            </w:r>
          </w:hyperlink>
        </w:p>
        <w:p>
          <w:pPr>
            <w:pStyle w:val="TOC1"/>
            <w:tabs>
              <w:tab w:val="clear" w:pos="8845"/>
              <w:tab w:val="right" w:pos="8844" w:leader="dot"/>
            </w:tabs>
            <w:rPr/>
          </w:pPr>
          <w:hyperlink w:anchor="__RefHeading___Toc3972_1443650120">
            <w:r>
              <w:rPr>
                <w:webHidden/>
                <w:rStyle w:val="IndexLink"/>
              </w:rPr>
              <w:t xml:space="preserve">6 </w:t>
            </w:r>
            <w:r>
              <w:rPr>
                <w:rStyle w:val="IndexLink"/>
              </w:rPr>
              <w:t>任务</w:t>
            </w:r>
            <w:r>
              <w:rPr>
                <w:rStyle w:val="IndexLink"/>
              </w:rPr>
              <w:t>3</w:t>
            </w:r>
            <w:r>
              <w:rPr>
                <w:rStyle w:val="IndexLink"/>
              </w:rPr>
              <w:t>：基于典型区域验证落地的规划方案匹配度提升</w:t>
            </w:r>
            <w:r>
              <w:rPr>
                <w:rStyle w:val="IndexLink"/>
              </w:rPr>
              <w:tab/>
              <w:t>27</w:t>
            </w:r>
          </w:hyperlink>
        </w:p>
        <w:p>
          <w:pPr>
            <w:pStyle w:val="TOC2"/>
            <w:tabs>
              <w:tab w:val="clear" w:pos="8562"/>
              <w:tab w:val="right" w:pos="8844" w:leader="dot"/>
            </w:tabs>
            <w:rPr/>
          </w:pPr>
          <w:hyperlink w:anchor="__RefHeading___Toc3974_1443650120">
            <w:r>
              <w:rPr>
                <w:webHidden/>
                <w:rStyle w:val="IndexLink"/>
              </w:rPr>
              <w:t xml:space="preserve">6.1 </w:t>
            </w:r>
            <w:r>
              <w:rPr>
                <w:rStyle w:val="IndexLink"/>
              </w:rPr>
              <w:t>任务目标</w:t>
            </w:r>
            <w:r>
              <w:rPr>
                <w:rStyle w:val="IndexLink"/>
              </w:rPr>
              <w:tab/>
              <w:t>27</w:t>
            </w:r>
          </w:hyperlink>
        </w:p>
        <w:p>
          <w:pPr>
            <w:pStyle w:val="TOC2"/>
            <w:tabs>
              <w:tab w:val="clear" w:pos="8562"/>
              <w:tab w:val="right" w:pos="8844" w:leader="dot"/>
            </w:tabs>
            <w:rPr/>
          </w:pPr>
          <w:hyperlink w:anchor="__RefHeading___Toc3976_1443650120">
            <w:r>
              <w:rPr>
                <w:webHidden/>
                <w:rStyle w:val="IndexLink"/>
              </w:rPr>
              <w:t xml:space="preserve">6.2 </w:t>
            </w:r>
            <w:r>
              <w:rPr>
                <w:rStyle w:val="IndexLink"/>
              </w:rPr>
              <w:t>规划方案数据组织</w:t>
            </w:r>
            <w:r>
              <w:rPr>
                <w:rStyle w:val="IndexLink"/>
              </w:rPr>
              <w:tab/>
              <w:t>27</w:t>
            </w:r>
          </w:hyperlink>
        </w:p>
        <w:p>
          <w:pPr>
            <w:pStyle w:val="TOC2"/>
            <w:tabs>
              <w:tab w:val="clear" w:pos="8562"/>
              <w:tab w:val="right" w:pos="8844" w:leader="dot"/>
            </w:tabs>
            <w:rPr/>
          </w:pPr>
          <w:hyperlink w:anchor="__RefHeading___Toc3978_1443650120">
            <w:r>
              <w:rPr>
                <w:webHidden/>
                <w:rStyle w:val="IndexLink"/>
              </w:rPr>
              <w:t xml:space="preserve">6.3 </w:t>
            </w:r>
            <w:r>
              <w:rPr>
                <w:rStyle w:val="IndexLink"/>
              </w:rPr>
              <w:t>源荷时序匹配分析</w:t>
            </w:r>
            <w:r>
              <w:rPr>
                <w:rStyle w:val="IndexLink"/>
              </w:rPr>
              <w:tab/>
              <w:t>28</w:t>
            </w:r>
          </w:hyperlink>
        </w:p>
        <w:p>
          <w:pPr>
            <w:pStyle w:val="TOC2"/>
            <w:tabs>
              <w:tab w:val="clear" w:pos="8562"/>
              <w:tab w:val="right" w:pos="8844" w:leader="dot"/>
            </w:tabs>
            <w:rPr/>
          </w:pPr>
          <w:hyperlink w:anchor="__RefHeading___Toc3980_1443650120">
            <w:r>
              <w:rPr>
                <w:webHidden/>
                <w:rStyle w:val="IndexLink"/>
              </w:rPr>
              <w:t xml:space="preserve">6.4 </w:t>
            </w:r>
            <w:r>
              <w:rPr>
                <w:rStyle w:val="IndexLink"/>
              </w:rPr>
              <w:t>规划方案对比</w:t>
            </w:r>
            <w:r>
              <w:rPr>
                <w:rStyle w:val="IndexLink"/>
              </w:rPr>
              <w:tab/>
              <w:t>28</w:t>
            </w:r>
          </w:hyperlink>
        </w:p>
        <w:p>
          <w:pPr>
            <w:pStyle w:val="TOC2"/>
            <w:tabs>
              <w:tab w:val="clear" w:pos="8562"/>
              <w:tab w:val="right" w:pos="8844" w:leader="dot"/>
            </w:tabs>
            <w:rPr/>
          </w:pPr>
          <w:hyperlink w:anchor="__RefHeading___Toc3982_1443650120">
            <w:r>
              <w:rPr>
                <w:webHidden/>
                <w:rStyle w:val="IndexLink"/>
              </w:rPr>
              <w:t xml:space="preserve">6.5 </w:t>
            </w:r>
            <w:r>
              <w:rPr>
                <w:rStyle w:val="IndexLink"/>
              </w:rPr>
              <w:t>匹配短板识别</w:t>
            </w:r>
            <w:r>
              <w:rPr>
                <w:rStyle w:val="IndexLink"/>
              </w:rPr>
              <w:tab/>
              <w:t>29</w:t>
            </w:r>
          </w:hyperlink>
        </w:p>
        <w:p>
          <w:pPr>
            <w:pStyle w:val="TOC2"/>
            <w:tabs>
              <w:tab w:val="clear" w:pos="8562"/>
              <w:tab w:val="right" w:pos="8844" w:leader="dot"/>
            </w:tabs>
            <w:rPr/>
          </w:pPr>
          <w:hyperlink w:anchor="__RefHeading___Toc3984_1443650120">
            <w:r>
              <w:rPr>
                <w:webHidden/>
                <w:rStyle w:val="IndexLink"/>
              </w:rPr>
              <w:t xml:space="preserve">6.6 </w:t>
            </w:r>
            <w:r>
              <w:rPr>
                <w:rStyle w:val="IndexLink"/>
              </w:rPr>
              <w:t>规划方案优化方向</w:t>
            </w:r>
            <w:r>
              <w:rPr>
                <w:rStyle w:val="IndexLink"/>
              </w:rPr>
              <w:tab/>
              <w:t>29</w:t>
            </w:r>
          </w:hyperlink>
        </w:p>
        <w:p>
          <w:pPr>
            <w:pStyle w:val="TOC2"/>
            <w:tabs>
              <w:tab w:val="clear" w:pos="8562"/>
              <w:tab w:val="right" w:pos="8844" w:leader="dot"/>
            </w:tabs>
            <w:rPr/>
          </w:pPr>
          <w:hyperlink w:anchor="__RefHeading___Toc3986_1443650120">
            <w:r>
              <w:rPr>
                <w:webHidden/>
                <w:rStyle w:val="IndexLink"/>
              </w:rPr>
              <w:t xml:space="preserve">6.7 </w:t>
            </w:r>
            <w:r>
              <w:rPr>
                <w:rStyle w:val="IndexLink"/>
              </w:rPr>
              <w:t>标准化应用流程</w:t>
            </w:r>
            <w:r>
              <w:rPr>
                <w:rStyle w:val="IndexLink"/>
              </w:rPr>
              <w:tab/>
              <w:t>29</w:t>
            </w:r>
          </w:hyperlink>
        </w:p>
        <w:p>
          <w:pPr>
            <w:pStyle w:val="TOC1"/>
            <w:tabs>
              <w:tab w:val="clear" w:pos="8845"/>
              <w:tab w:val="right" w:pos="8844" w:leader="dot"/>
            </w:tabs>
            <w:rPr/>
          </w:pPr>
          <w:hyperlink w:anchor="__RefHeading___Toc3988_1443650120">
            <w:r>
              <w:rPr>
                <w:webHidden/>
                <w:rStyle w:val="IndexLink"/>
              </w:rPr>
              <w:t xml:space="preserve">7 </w:t>
            </w:r>
            <w:r>
              <w:rPr>
                <w:rStyle w:val="IndexLink"/>
              </w:rPr>
              <w:t>软件总体设计</w:t>
            </w:r>
            <w:r>
              <w:rPr>
                <w:rStyle w:val="IndexLink"/>
              </w:rPr>
              <w:tab/>
              <w:t>30</w:t>
            </w:r>
          </w:hyperlink>
        </w:p>
        <w:p>
          <w:pPr>
            <w:pStyle w:val="TOC2"/>
            <w:tabs>
              <w:tab w:val="clear" w:pos="8562"/>
              <w:tab w:val="right" w:pos="8844" w:leader="dot"/>
            </w:tabs>
            <w:rPr/>
          </w:pPr>
          <w:hyperlink w:anchor="__RefHeading___Toc3990_1443650120">
            <w:r>
              <w:rPr>
                <w:webHidden/>
                <w:rStyle w:val="IndexLink"/>
              </w:rPr>
              <w:t xml:space="preserve">7.1 </w:t>
            </w:r>
            <w:r>
              <w:rPr>
                <w:rStyle w:val="IndexLink"/>
              </w:rPr>
              <w:t>软件形态</w:t>
            </w:r>
            <w:r>
              <w:rPr>
                <w:rStyle w:val="IndexLink"/>
              </w:rPr>
              <w:tab/>
              <w:t>30</w:t>
            </w:r>
          </w:hyperlink>
        </w:p>
        <w:p>
          <w:pPr>
            <w:pStyle w:val="TOC2"/>
            <w:tabs>
              <w:tab w:val="clear" w:pos="8562"/>
              <w:tab w:val="right" w:pos="8844" w:leader="dot"/>
            </w:tabs>
            <w:rPr/>
          </w:pPr>
          <w:hyperlink w:anchor="__RefHeading___Toc3992_1443650120">
            <w:r>
              <w:rPr>
                <w:webHidden/>
                <w:rStyle w:val="IndexLink"/>
              </w:rPr>
              <w:t xml:space="preserve">7.2 </w:t>
            </w:r>
            <w:r>
              <w:rPr>
                <w:rStyle w:val="IndexLink"/>
              </w:rPr>
              <w:t>页面菜单设计</w:t>
            </w:r>
            <w:r>
              <w:rPr>
                <w:rStyle w:val="IndexLink"/>
              </w:rPr>
              <w:tab/>
              <w:t>30</w:t>
            </w:r>
          </w:hyperlink>
        </w:p>
        <w:p>
          <w:pPr>
            <w:pStyle w:val="TOC2"/>
            <w:tabs>
              <w:tab w:val="clear" w:pos="8562"/>
              <w:tab w:val="right" w:pos="8844" w:leader="dot"/>
            </w:tabs>
            <w:rPr/>
          </w:pPr>
          <w:hyperlink w:anchor="__RefHeading___Toc3994_1443650120">
            <w:r>
              <w:rPr>
                <w:webHidden/>
                <w:rStyle w:val="IndexLink"/>
              </w:rPr>
              <w:t xml:space="preserve">7.3 </w:t>
            </w:r>
            <w:r>
              <w:rPr>
                <w:rStyle w:val="IndexLink"/>
              </w:rPr>
              <w:t>页面交互原则</w:t>
            </w:r>
            <w:r>
              <w:rPr>
                <w:rStyle w:val="IndexLink"/>
              </w:rPr>
              <w:tab/>
              <w:t>30</w:t>
            </w:r>
          </w:hyperlink>
        </w:p>
        <w:p>
          <w:pPr>
            <w:pStyle w:val="TOC2"/>
            <w:tabs>
              <w:tab w:val="clear" w:pos="8562"/>
              <w:tab w:val="right" w:pos="8844" w:leader="dot"/>
            </w:tabs>
            <w:rPr/>
          </w:pPr>
          <w:hyperlink w:anchor="__RefHeading___Toc3996_1443650120">
            <w:r>
              <w:rPr>
                <w:webHidden/>
                <w:rStyle w:val="IndexLink"/>
              </w:rPr>
              <w:t xml:space="preserve">7.4 </w:t>
            </w:r>
            <w:r>
              <w:rPr>
                <w:rStyle w:val="IndexLink"/>
              </w:rPr>
              <w:t>本地使用与维护方式</w:t>
            </w:r>
            <w:r>
              <w:rPr>
                <w:rStyle w:val="IndexLink"/>
              </w:rPr>
              <w:tab/>
              <w:t>31</w:t>
            </w:r>
          </w:hyperlink>
        </w:p>
        <w:p>
          <w:pPr>
            <w:pStyle w:val="TOC1"/>
            <w:tabs>
              <w:tab w:val="clear" w:pos="8845"/>
              <w:tab w:val="right" w:pos="8844" w:leader="dot"/>
            </w:tabs>
            <w:rPr/>
          </w:pPr>
          <w:hyperlink w:anchor="__RefHeading___Toc3998_1443650120">
            <w:r>
              <w:rPr>
                <w:webHidden/>
                <w:rStyle w:val="IndexLink"/>
              </w:rPr>
              <w:t xml:space="preserve">8 </w:t>
            </w:r>
            <w:r>
              <w:rPr>
                <w:rStyle w:val="IndexLink"/>
              </w:rPr>
              <w:t>数据与模型设计</w:t>
            </w:r>
            <w:r>
              <w:rPr>
                <w:rStyle w:val="IndexLink"/>
              </w:rPr>
              <w:tab/>
              <w:t>31</w:t>
            </w:r>
          </w:hyperlink>
        </w:p>
        <w:p>
          <w:pPr>
            <w:pStyle w:val="TOC2"/>
            <w:tabs>
              <w:tab w:val="clear" w:pos="8562"/>
              <w:tab w:val="right" w:pos="8844" w:leader="dot"/>
            </w:tabs>
            <w:rPr/>
          </w:pPr>
          <w:hyperlink w:anchor="__RefHeading___Toc4000_1443650120">
            <w:r>
              <w:rPr>
                <w:webHidden/>
                <w:rStyle w:val="IndexLink"/>
              </w:rPr>
              <w:t xml:space="preserve">8.1 </w:t>
            </w:r>
            <w:r>
              <w:rPr>
                <w:rStyle w:val="IndexLink"/>
              </w:rPr>
              <w:t>数据分类</w:t>
            </w:r>
            <w:r>
              <w:rPr>
                <w:rStyle w:val="IndexLink"/>
              </w:rPr>
              <w:tab/>
              <w:t>31</w:t>
            </w:r>
          </w:hyperlink>
        </w:p>
        <w:p>
          <w:pPr>
            <w:pStyle w:val="TOC2"/>
            <w:tabs>
              <w:tab w:val="clear" w:pos="8562"/>
              <w:tab w:val="right" w:pos="8844" w:leader="dot"/>
            </w:tabs>
            <w:rPr/>
          </w:pPr>
          <w:hyperlink w:anchor="__RefHeading___Toc4002_1443650120">
            <w:r>
              <w:rPr>
                <w:webHidden/>
                <w:rStyle w:val="IndexLink"/>
              </w:rPr>
              <w:t xml:space="preserve">8.2 </w:t>
            </w:r>
            <w:r>
              <w:rPr>
                <w:rStyle w:val="IndexLink"/>
              </w:rPr>
              <w:t>数据输入标准</w:t>
            </w:r>
            <w:r>
              <w:rPr>
                <w:rStyle w:val="IndexLink"/>
              </w:rPr>
              <w:tab/>
              <w:t>31</w:t>
            </w:r>
          </w:hyperlink>
        </w:p>
        <w:p>
          <w:pPr>
            <w:pStyle w:val="TOC2"/>
            <w:tabs>
              <w:tab w:val="clear" w:pos="8562"/>
              <w:tab w:val="right" w:pos="8844" w:leader="dot"/>
            </w:tabs>
            <w:rPr/>
          </w:pPr>
          <w:hyperlink w:anchor="__RefHeading___Toc4004_1443650120">
            <w:r>
              <w:rPr>
                <w:webHidden/>
                <w:rStyle w:val="IndexLink"/>
              </w:rPr>
              <w:t xml:space="preserve">8.3 </w:t>
            </w:r>
            <w:r>
              <w:rPr>
                <w:rStyle w:val="IndexLink"/>
              </w:rPr>
              <w:t>标准输出数据结构</w:t>
            </w:r>
            <w:r>
              <w:rPr>
                <w:rStyle w:val="IndexLink"/>
              </w:rPr>
              <w:tab/>
              <w:t>32</w:t>
            </w:r>
          </w:hyperlink>
        </w:p>
        <w:p>
          <w:pPr>
            <w:pStyle w:val="TOC2"/>
            <w:tabs>
              <w:tab w:val="clear" w:pos="8562"/>
              <w:tab w:val="right" w:pos="8844" w:leader="dot"/>
            </w:tabs>
            <w:rPr/>
          </w:pPr>
          <w:hyperlink w:anchor="__RefHeading___Toc4006_1443650120">
            <w:r>
              <w:rPr>
                <w:webHidden/>
                <w:rStyle w:val="IndexLink"/>
              </w:rPr>
              <w:t xml:space="preserve">8.4 </w:t>
            </w:r>
            <w:r>
              <w:rPr>
                <w:rStyle w:val="IndexLink"/>
              </w:rPr>
              <w:t>模型集成方式</w:t>
            </w:r>
            <w:r>
              <w:rPr>
                <w:rStyle w:val="IndexLink"/>
              </w:rPr>
              <w:tab/>
              <w:t>32</w:t>
            </w:r>
          </w:hyperlink>
        </w:p>
        <w:p>
          <w:pPr>
            <w:pStyle w:val="TOC2"/>
            <w:tabs>
              <w:tab w:val="clear" w:pos="8562"/>
              <w:tab w:val="right" w:pos="8844" w:leader="dot"/>
            </w:tabs>
            <w:rPr/>
          </w:pPr>
          <w:hyperlink w:anchor="__RefHeading___Toc4008_1443650120">
            <w:r>
              <w:rPr>
                <w:webHidden/>
                <w:rStyle w:val="IndexLink"/>
              </w:rPr>
              <w:t xml:space="preserve">8.5 </w:t>
            </w:r>
            <w:r>
              <w:rPr>
                <w:rStyle w:val="IndexLink"/>
              </w:rPr>
              <w:t>版本追溯关系</w:t>
            </w:r>
            <w:r>
              <w:rPr>
                <w:rStyle w:val="IndexLink"/>
              </w:rPr>
              <w:tab/>
              <w:t>33</w:t>
            </w:r>
          </w:hyperlink>
        </w:p>
        <w:p>
          <w:pPr>
            <w:pStyle w:val="TOC1"/>
            <w:tabs>
              <w:tab w:val="clear" w:pos="8845"/>
              <w:tab w:val="right" w:pos="8844" w:leader="dot"/>
            </w:tabs>
            <w:rPr/>
          </w:pPr>
          <w:hyperlink w:anchor="__RefHeading___Toc4010_1443650120">
            <w:r>
              <w:rPr>
                <w:webHidden/>
                <w:rStyle w:val="IndexLink"/>
              </w:rPr>
              <w:t xml:space="preserve">9 </w:t>
            </w:r>
            <w:r>
              <w:rPr>
                <w:rStyle w:val="IndexLink"/>
              </w:rPr>
              <w:t>技术架构与部署方案</w:t>
            </w:r>
            <w:r>
              <w:rPr>
                <w:rStyle w:val="IndexLink"/>
              </w:rPr>
              <w:tab/>
              <w:t>33</w:t>
            </w:r>
          </w:hyperlink>
        </w:p>
        <w:p>
          <w:pPr>
            <w:pStyle w:val="TOC2"/>
            <w:tabs>
              <w:tab w:val="clear" w:pos="8562"/>
              <w:tab w:val="right" w:pos="8844" w:leader="dot"/>
            </w:tabs>
            <w:rPr/>
          </w:pPr>
          <w:hyperlink w:anchor="__RefHeading___Toc4012_1443650120">
            <w:r>
              <w:rPr>
                <w:webHidden/>
                <w:rStyle w:val="IndexLink"/>
              </w:rPr>
              <w:t xml:space="preserve">9.1 </w:t>
            </w:r>
            <w:r>
              <w:rPr>
                <w:rStyle w:val="IndexLink"/>
              </w:rPr>
              <w:t>总体技术架构</w:t>
            </w:r>
            <w:r>
              <w:rPr>
                <w:rStyle w:val="IndexLink"/>
              </w:rPr>
              <w:tab/>
              <w:t>33</w:t>
            </w:r>
          </w:hyperlink>
        </w:p>
        <w:p>
          <w:pPr>
            <w:pStyle w:val="TOC2"/>
            <w:tabs>
              <w:tab w:val="clear" w:pos="8562"/>
              <w:tab w:val="right" w:pos="8844" w:leader="dot"/>
            </w:tabs>
            <w:rPr/>
          </w:pPr>
          <w:hyperlink w:anchor="__RefHeading___Toc4014_1443650120">
            <w:r>
              <w:rPr>
                <w:webHidden/>
                <w:rStyle w:val="IndexLink"/>
              </w:rPr>
              <w:t xml:space="preserve">9.2 </w:t>
            </w:r>
            <w:r>
              <w:rPr>
                <w:rStyle w:val="IndexLink"/>
              </w:rPr>
              <w:t>前端技术方案</w:t>
            </w:r>
            <w:r>
              <w:rPr>
                <w:rStyle w:val="IndexLink"/>
              </w:rPr>
              <w:tab/>
              <w:t>34</w:t>
            </w:r>
          </w:hyperlink>
        </w:p>
        <w:p>
          <w:pPr>
            <w:pStyle w:val="TOC2"/>
            <w:tabs>
              <w:tab w:val="clear" w:pos="8562"/>
              <w:tab w:val="right" w:pos="8844" w:leader="dot"/>
            </w:tabs>
            <w:rPr/>
          </w:pPr>
          <w:hyperlink w:anchor="__RefHeading___Toc4016_1443650120">
            <w:r>
              <w:rPr>
                <w:webHidden/>
                <w:rStyle w:val="IndexLink"/>
              </w:rPr>
              <w:t xml:space="preserve">9.3 </w:t>
            </w:r>
            <w:r>
              <w:rPr>
                <w:rStyle w:val="IndexLink"/>
              </w:rPr>
              <w:t>后端与算法集成方案</w:t>
            </w:r>
            <w:r>
              <w:rPr>
                <w:rStyle w:val="IndexLink"/>
              </w:rPr>
              <w:tab/>
              <w:t>35</w:t>
            </w:r>
          </w:hyperlink>
        </w:p>
        <w:p>
          <w:pPr>
            <w:pStyle w:val="TOC2"/>
            <w:tabs>
              <w:tab w:val="clear" w:pos="8562"/>
              <w:tab w:val="right" w:pos="8844" w:leader="dot"/>
            </w:tabs>
            <w:rPr/>
          </w:pPr>
          <w:hyperlink w:anchor="__RefHeading___Toc4018_1443650120">
            <w:r>
              <w:rPr>
                <w:webHidden/>
                <w:rStyle w:val="IndexLink"/>
              </w:rPr>
              <w:t xml:space="preserve">9.4 </w:t>
            </w:r>
            <w:r>
              <w:rPr>
                <w:rStyle w:val="IndexLink"/>
              </w:rPr>
              <w:t>数据与文件存储方案</w:t>
            </w:r>
            <w:r>
              <w:rPr>
                <w:rStyle w:val="IndexLink"/>
              </w:rPr>
              <w:tab/>
              <w:t>35</w:t>
            </w:r>
          </w:hyperlink>
        </w:p>
        <w:p>
          <w:pPr>
            <w:pStyle w:val="TOC2"/>
            <w:tabs>
              <w:tab w:val="clear" w:pos="8562"/>
              <w:tab w:val="right" w:pos="8844" w:leader="dot"/>
            </w:tabs>
            <w:rPr/>
          </w:pPr>
          <w:hyperlink w:anchor="__RefHeading___Toc4020_1443650120">
            <w:r>
              <w:rPr>
                <w:webHidden/>
                <w:rStyle w:val="IndexLink"/>
              </w:rPr>
              <w:t xml:space="preserve">9.5 </w:t>
            </w:r>
            <w:r>
              <w:rPr>
                <w:rStyle w:val="IndexLink"/>
              </w:rPr>
              <w:t>本地部署方案</w:t>
            </w:r>
            <w:r>
              <w:rPr>
                <w:rStyle w:val="IndexLink"/>
              </w:rPr>
              <w:tab/>
              <w:t>35</w:t>
            </w:r>
          </w:hyperlink>
        </w:p>
        <w:p>
          <w:pPr>
            <w:pStyle w:val="TOC1"/>
            <w:tabs>
              <w:tab w:val="clear" w:pos="8845"/>
              <w:tab w:val="right" w:pos="8844" w:leader="dot"/>
            </w:tabs>
            <w:rPr/>
          </w:pPr>
          <w:hyperlink w:anchor="__RefHeading___Toc4022_1443650120">
            <w:r>
              <w:rPr>
                <w:webHidden/>
                <w:rStyle w:val="IndexLink"/>
              </w:rPr>
              <w:t xml:space="preserve">10 </w:t>
            </w:r>
            <w:r>
              <w:rPr>
                <w:rStyle w:val="IndexLink"/>
              </w:rPr>
              <w:t>成果标准与技术指标</w:t>
            </w:r>
            <w:r>
              <w:rPr>
                <w:rStyle w:val="IndexLink"/>
              </w:rPr>
              <w:tab/>
              <w:t>36</w:t>
            </w:r>
          </w:hyperlink>
        </w:p>
        <w:p>
          <w:pPr>
            <w:pStyle w:val="TOC2"/>
            <w:tabs>
              <w:tab w:val="clear" w:pos="8562"/>
              <w:tab w:val="right" w:pos="8844" w:leader="dot"/>
            </w:tabs>
            <w:rPr/>
          </w:pPr>
          <w:hyperlink w:anchor="__RefHeading___Toc4024_1443650120">
            <w:r>
              <w:rPr>
                <w:webHidden/>
                <w:rStyle w:val="IndexLink"/>
              </w:rPr>
              <w:t xml:space="preserve">10.1 </w:t>
            </w:r>
            <w:r>
              <w:rPr>
                <w:rStyle w:val="IndexLink"/>
              </w:rPr>
              <w:t>中长期负荷预测模块功能标准</w:t>
            </w:r>
            <w:r>
              <w:rPr>
                <w:rStyle w:val="IndexLink"/>
              </w:rPr>
              <w:tab/>
              <w:t>36</w:t>
            </w:r>
          </w:hyperlink>
        </w:p>
        <w:p>
          <w:pPr>
            <w:pStyle w:val="TOC2"/>
            <w:tabs>
              <w:tab w:val="clear" w:pos="8562"/>
              <w:tab w:val="right" w:pos="8844" w:leader="dot"/>
            </w:tabs>
            <w:rPr/>
          </w:pPr>
          <w:hyperlink w:anchor="__RefHeading___Toc4026_1443650120">
            <w:r>
              <w:rPr>
                <w:webHidden/>
                <w:rStyle w:val="IndexLink"/>
              </w:rPr>
              <w:t xml:space="preserve">10.2 </w:t>
            </w:r>
            <w:r>
              <w:rPr>
                <w:rStyle w:val="IndexLink"/>
              </w:rPr>
              <w:t>数据标准</w:t>
            </w:r>
            <w:r>
              <w:rPr>
                <w:rStyle w:val="IndexLink"/>
              </w:rPr>
              <w:tab/>
              <w:t>37</w:t>
            </w:r>
          </w:hyperlink>
        </w:p>
        <w:p>
          <w:pPr>
            <w:pStyle w:val="TOC2"/>
            <w:tabs>
              <w:tab w:val="clear" w:pos="8562"/>
              <w:tab w:val="right" w:pos="8844" w:leader="dot"/>
            </w:tabs>
            <w:rPr/>
          </w:pPr>
          <w:hyperlink w:anchor="__RefHeading___Toc4028_1443650120">
            <w:r>
              <w:rPr>
                <w:webHidden/>
                <w:rStyle w:val="IndexLink"/>
              </w:rPr>
              <w:t xml:space="preserve">10.3 </w:t>
            </w:r>
            <w:r>
              <w:rPr>
                <w:rStyle w:val="IndexLink"/>
              </w:rPr>
              <w:t>模型集成标准</w:t>
            </w:r>
            <w:r>
              <w:rPr>
                <w:rStyle w:val="IndexLink"/>
              </w:rPr>
              <w:tab/>
              <w:t>37</w:t>
            </w:r>
          </w:hyperlink>
        </w:p>
        <w:p>
          <w:pPr>
            <w:pStyle w:val="TOC2"/>
            <w:tabs>
              <w:tab w:val="clear" w:pos="8562"/>
              <w:tab w:val="right" w:pos="8844" w:leader="dot"/>
            </w:tabs>
            <w:rPr/>
          </w:pPr>
          <w:hyperlink w:anchor="__RefHeading___Toc4030_1443650120">
            <w:r>
              <w:rPr>
                <w:webHidden/>
                <w:rStyle w:val="IndexLink"/>
              </w:rPr>
              <w:t xml:space="preserve">10.4 </w:t>
            </w:r>
            <w:r>
              <w:rPr>
                <w:rStyle w:val="IndexLink"/>
              </w:rPr>
              <w:t>预测结果标准</w:t>
            </w:r>
            <w:r>
              <w:rPr>
                <w:rStyle w:val="IndexLink"/>
              </w:rPr>
              <w:tab/>
              <w:t>37</w:t>
            </w:r>
          </w:hyperlink>
        </w:p>
        <w:p>
          <w:pPr>
            <w:pStyle w:val="TOC2"/>
            <w:tabs>
              <w:tab w:val="clear" w:pos="8562"/>
              <w:tab w:val="right" w:pos="8844" w:leader="dot"/>
            </w:tabs>
            <w:rPr/>
          </w:pPr>
          <w:hyperlink w:anchor="__RefHeading___Toc4032_1443650120">
            <w:r>
              <w:rPr>
                <w:webHidden/>
                <w:rStyle w:val="IndexLink"/>
              </w:rPr>
              <w:t xml:space="preserve">10.5 </w:t>
            </w:r>
            <w:r>
              <w:rPr>
                <w:rStyle w:val="IndexLink"/>
              </w:rPr>
              <w:t>预测精度指标</w:t>
            </w:r>
            <w:r>
              <w:rPr>
                <w:rStyle w:val="IndexLink"/>
              </w:rPr>
              <w:tab/>
              <w:t>37</w:t>
            </w:r>
          </w:hyperlink>
        </w:p>
        <w:p>
          <w:pPr>
            <w:pStyle w:val="TOC2"/>
            <w:tabs>
              <w:tab w:val="clear" w:pos="8562"/>
              <w:tab w:val="right" w:pos="8844" w:leader="dot"/>
            </w:tabs>
            <w:rPr/>
          </w:pPr>
          <w:hyperlink w:anchor="__RefHeading___Toc4034_1443650120">
            <w:r>
              <w:rPr>
                <w:webHidden/>
                <w:rStyle w:val="IndexLink"/>
              </w:rPr>
              <w:t xml:space="preserve">10.6 </w:t>
            </w:r>
            <w:r>
              <w:rPr>
                <w:rStyle w:val="IndexLink"/>
              </w:rPr>
              <w:t>典型区域验证成果标准</w:t>
            </w:r>
            <w:r>
              <w:rPr>
                <w:rStyle w:val="IndexLink"/>
              </w:rPr>
              <w:tab/>
              <w:t>38</w:t>
            </w:r>
          </w:hyperlink>
        </w:p>
        <w:p>
          <w:pPr>
            <w:pStyle w:val="TOC2"/>
            <w:tabs>
              <w:tab w:val="clear" w:pos="8562"/>
              <w:tab w:val="right" w:pos="8844" w:leader="dot"/>
            </w:tabs>
            <w:rPr/>
          </w:pPr>
          <w:hyperlink w:anchor="__RefHeading___Toc4036_1443650120">
            <w:r>
              <w:rPr>
                <w:webHidden/>
                <w:rStyle w:val="IndexLink"/>
              </w:rPr>
              <w:t xml:space="preserve">10.7 </w:t>
            </w:r>
            <w:r>
              <w:rPr>
                <w:rStyle w:val="IndexLink"/>
              </w:rPr>
              <w:t>规划方案匹配度分析成果标准</w:t>
            </w:r>
            <w:r>
              <w:rPr>
                <w:rStyle w:val="IndexLink"/>
              </w:rPr>
              <w:tab/>
              <w:t>38</w:t>
            </w:r>
          </w:hyperlink>
        </w:p>
        <w:p>
          <w:pPr>
            <w:pStyle w:val="TOC1"/>
            <w:tabs>
              <w:tab w:val="clear" w:pos="8845"/>
              <w:tab w:val="right" w:pos="8844" w:leader="dot"/>
            </w:tabs>
            <w:rPr/>
          </w:pPr>
          <w:hyperlink w:anchor="__RefHeading___Toc4038_1443650120">
            <w:r>
              <w:rPr>
                <w:webHidden/>
                <w:rStyle w:val="IndexLink"/>
              </w:rPr>
              <w:t xml:space="preserve">11 </w:t>
            </w:r>
            <w:r>
              <w:rPr>
                <w:rStyle w:val="IndexLink"/>
              </w:rPr>
              <w:t>预期应用效果</w:t>
            </w:r>
            <w:r>
              <w:rPr>
                <w:rStyle w:val="IndexLink"/>
              </w:rPr>
              <w:tab/>
              <w:t>38</w:t>
            </w:r>
          </w:hyperlink>
        </w:p>
        <w:p>
          <w:pPr>
            <w:pStyle w:val="TOC2"/>
            <w:tabs>
              <w:tab w:val="clear" w:pos="8562"/>
              <w:tab w:val="right" w:pos="8844" w:leader="dot"/>
            </w:tabs>
            <w:rPr/>
          </w:pPr>
          <w:hyperlink w:anchor="__RefHeading___Toc4040_1443650120">
            <w:r>
              <w:rPr>
                <w:webHidden/>
                <w:rStyle w:val="IndexLink"/>
              </w:rPr>
              <w:t xml:space="preserve">11.1 </w:t>
            </w:r>
            <w:r>
              <w:rPr>
                <w:rStyle w:val="IndexLink"/>
              </w:rPr>
              <w:t>形成多情景中长期负荷预测能力</w:t>
            </w:r>
            <w:r>
              <w:rPr>
                <w:rStyle w:val="IndexLink"/>
              </w:rPr>
              <w:tab/>
              <w:t>38</w:t>
            </w:r>
          </w:hyperlink>
        </w:p>
        <w:p>
          <w:pPr>
            <w:pStyle w:val="TOC2"/>
            <w:tabs>
              <w:tab w:val="clear" w:pos="8562"/>
              <w:tab w:val="right" w:pos="8844" w:leader="dot"/>
            </w:tabs>
            <w:rPr/>
          </w:pPr>
          <w:hyperlink w:anchor="__RefHeading___Toc4042_1443650120">
            <w:r>
              <w:rPr>
                <w:webHidden/>
                <w:rStyle w:val="IndexLink"/>
              </w:rPr>
              <w:t xml:space="preserve">11.2 </w:t>
            </w:r>
            <w:r>
              <w:rPr>
                <w:rStyle w:val="IndexLink"/>
              </w:rPr>
              <w:t>实现研究成果工程化应用</w:t>
            </w:r>
            <w:r>
              <w:rPr>
                <w:rStyle w:val="IndexLink"/>
              </w:rPr>
              <w:tab/>
              <w:t>39</w:t>
            </w:r>
          </w:hyperlink>
        </w:p>
        <w:p>
          <w:pPr>
            <w:pStyle w:val="TOC2"/>
            <w:tabs>
              <w:tab w:val="clear" w:pos="8562"/>
              <w:tab w:val="right" w:pos="8844" w:leader="dot"/>
            </w:tabs>
            <w:rPr/>
          </w:pPr>
          <w:hyperlink w:anchor="__RefHeading___Toc4044_1443650120">
            <w:r>
              <w:rPr>
                <w:webHidden/>
                <w:rStyle w:val="IndexLink"/>
              </w:rPr>
              <w:t xml:space="preserve">11.3 </w:t>
            </w:r>
            <w:r>
              <w:rPr>
                <w:rStyle w:val="IndexLink"/>
              </w:rPr>
              <w:t>支撑典型区域差异化分析</w:t>
            </w:r>
            <w:r>
              <w:rPr>
                <w:rStyle w:val="IndexLink"/>
              </w:rPr>
              <w:tab/>
              <w:t>39</w:t>
            </w:r>
          </w:hyperlink>
        </w:p>
        <w:p>
          <w:pPr>
            <w:pStyle w:val="TOC2"/>
            <w:tabs>
              <w:tab w:val="clear" w:pos="8562"/>
              <w:tab w:val="right" w:pos="8844" w:leader="dot"/>
            </w:tabs>
            <w:rPr/>
          </w:pPr>
          <w:hyperlink w:anchor="__RefHeading___Toc4046_1443650120">
            <w:r>
              <w:rPr>
                <w:webHidden/>
                <w:rStyle w:val="IndexLink"/>
              </w:rPr>
              <w:t xml:space="preserve">11.4 </w:t>
            </w:r>
            <w:r>
              <w:rPr>
                <w:rStyle w:val="IndexLink"/>
              </w:rPr>
              <w:t>提升规划方案源荷匹配分析水平</w:t>
            </w:r>
            <w:r>
              <w:rPr>
                <w:rStyle w:val="IndexLink"/>
              </w:rPr>
              <w:tab/>
              <w:t>39</w:t>
            </w:r>
          </w:hyperlink>
        </w:p>
        <w:p>
          <w:pPr>
            <w:pStyle w:val="TOC2"/>
            <w:tabs>
              <w:tab w:val="clear" w:pos="8562"/>
              <w:tab w:val="right" w:pos="8844" w:leader="dot"/>
            </w:tabs>
            <w:rPr/>
          </w:pPr>
          <w:hyperlink w:anchor="__RefHeading___Toc4048_1443650120">
            <w:r>
              <w:rPr>
                <w:webHidden/>
                <w:rStyle w:val="IndexLink"/>
              </w:rPr>
              <w:t xml:space="preserve">11.5 </w:t>
            </w:r>
            <w:r>
              <w:rPr>
                <w:rStyle w:val="IndexLink"/>
              </w:rPr>
              <w:t>形成可复用的标准化应用流程</w:t>
            </w:r>
            <w:r>
              <w:rPr>
                <w:rStyle w:val="IndexLink"/>
              </w:rPr>
              <w:tab/>
              <w:t>39</w:t>
            </w:r>
          </w:hyperlink>
          <w:r>
            <w:rPr>
              <w:rStyle w:val="IndexLink"/>
            </w:rPr>
            <w:fldChar w:fldCharType="end"/>
          </w:r>
        </w:p>
      </w:sdtContent>
    </w:sdt>
    <w:p>
      <w:pPr>
        <w:pStyle w:val="Heading1"/>
        <w:keepNext w:val="true"/>
        <w:spacing w:before="200" w:after="100"/>
        <w:ind w:hanging="0" w:start="0" w:end="0"/>
        <w:rPr/>
      </w:pPr>
      <w:r>
        <w:br w:type="page"/>
      </w:r>
      <w:bookmarkStart w:id="0" w:name="__RefHeading___Toc3910_1443650120"/>
      <w:bookmarkEnd w:id="0"/>
      <w:r>
        <w:rPr>
          <w:rFonts w:ascii="Times New Roman" w:hAnsi="Times New Roman" w:cs="Times New Roman"/>
          <w:b/>
          <w:color w:val="000000"/>
          <w:sz w:val="32"/>
        </w:rPr>
        <w:t>课题概述</w:t>
      </w:r>
    </w:p>
    <w:p>
      <w:pPr>
        <w:pStyle w:val="Heading2"/>
        <w:keepNext w:val="true"/>
        <w:spacing w:before="120" w:after="100"/>
        <w:ind w:hanging="0" w:start="0" w:end="0"/>
        <w:rPr/>
      </w:pPr>
      <w:bookmarkStart w:id="1" w:name="__RefHeading___Toc3912_1443650120"/>
      <w:bookmarkEnd w:id="1"/>
      <w:r>
        <w:rPr>
          <w:rFonts w:ascii="Times New Roman" w:hAnsi="Times New Roman" w:cs="Times New Roman"/>
          <w:b/>
          <w:color w:val="000000"/>
          <w:sz w:val="28"/>
        </w:rPr>
        <w:t>研究背景</w:t>
      </w:r>
    </w:p>
    <w:p>
      <w:pPr>
        <w:pStyle w:val="Style5"/>
        <w:spacing w:lineRule="auto" w:line="360" w:before="0" w:after="0"/>
        <w:ind w:firstLine="480" w:start="0" w:end="0"/>
        <w:jc w:val="both"/>
        <w:rPr/>
      </w:pPr>
      <w:r>
        <w:rPr>
          <w:rFonts w:ascii="Times New Roman" w:hAnsi="Times New Roman" w:cs="Times New Roman"/>
          <w:b w:val="false"/>
          <w:color w:val="000000"/>
          <w:sz w:val="24"/>
        </w:rPr>
        <w:t>随着终端用能电气化水平持续提升，电动汽车、数据中心、工业电锅炉、电制氢、新型储能及虚拟电厂聚合负荷等新型负荷加快接入电网。新型负荷在运行时段、功率变化、可调节能力和用户行为等方面呈现显著差异，使区域负荷从相对稳定、单一增长逐步转向多类型负荷共同作用下的复杂演化。</w:t>
      </w:r>
    </w:p>
    <w:p>
      <w:pPr>
        <w:pStyle w:val="Style5"/>
        <w:spacing w:lineRule="auto" w:line="360" w:before="0" w:after="0"/>
        <w:ind w:firstLine="480" w:start="0" w:end="0"/>
        <w:jc w:val="both"/>
        <w:rPr/>
      </w:pPr>
      <w:r>
        <w:rPr>
          <w:rFonts w:ascii="Times New Roman" w:hAnsi="Times New Roman" w:cs="Times New Roman"/>
          <w:b w:val="false"/>
          <w:color w:val="000000"/>
          <w:sz w:val="24"/>
        </w:rPr>
        <w:t>在中长期尺度上，区域负荷发展同时受宏观经济、产业结构、能源政策、技术进步、气象变化和用户行为等因素影响。不同因素的变化速度和作用方向存在差异，导致未来负荷规模、结构和时序形态具有较强不确定性。传统以单一增长率或单一情景为主的预测方式，难以完整反映不同发展路径下的负荷变化边界。</w:t>
      </w:r>
    </w:p>
    <w:p>
      <w:pPr>
        <w:pStyle w:val="Style5"/>
        <w:spacing w:lineRule="auto" w:line="360" w:before="0" w:after="0"/>
        <w:ind w:firstLine="480" w:start="0" w:end="0"/>
        <w:jc w:val="both"/>
        <w:rPr/>
      </w:pPr>
      <w:r>
        <w:rPr>
          <w:rFonts w:ascii="Times New Roman" w:hAnsi="Times New Roman" w:cs="Times New Roman"/>
          <w:b w:val="false"/>
          <w:color w:val="000000"/>
          <w:sz w:val="24"/>
        </w:rPr>
        <w:t>项目前三个课题分别从新型负荷建模、负荷影响特性与演化规律、多重不确定性条件下的中长期预测等方面形成研究成果。课题</w:t>
      </w:r>
      <w:r>
        <w:rPr>
          <w:rFonts w:eastAsia="仿宋" w:cs="Times New Roman"/>
          <w:b w:val="false"/>
          <w:color w:val="000000"/>
          <w:sz w:val="24"/>
        </w:rPr>
        <w:t>4</w:t>
      </w:r>
      <w:r>
        <w:rPr>
          <w:rFonts w:ascii="Times New Roman" w:hAnsi="Times New Roman" w:cs="Times New Roman"/>
          <w:b w:val="false"/>
          <w:color w:val="000000"/>
          <w:sz w:val="24"/>
        </w:rPr>
        <w:t>需要在此基础上完成成果集成、模块研发和典型区域应用，形成能够服务电网中长期规划的数据分析与决策支撑工具。</w:t>
      </w:r>
    </w:p>
    <w:p>
      <w:pPr>
        <w:pStyle w:val="Heading2"/>
        <w:keepNext w:val="true"/>
        <w:spacing w:before="120" w:after="100"/>
        <w:ind w:hanging="0" w:start="0" w:end="0"/>
        <w:rPr/>
      </w:pPr>
      <w:bookmarkStart w:id="2" w:name="__RefHeading___Toc3914_1443650120"/>
      <w:bookmarkEnd w:id="2"/>
      <w:r>
        <w:rPr>
          <w:rFonts w:ascii="Times New Roman" w:hAnsi="Times New Roman" w:cs="Times New Roman"/>
          <w:b/>
          <w:color w:val="000000"/>
          <w:sz w:val="28"/>
        </w:rPr>
        <w:t>课题定位</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定位为项目研究成果的软件化、模块化和应用化载体。其核心不是重新构建全部基础模型，而是对课题</w:t>
      </w:r>
      <w:r>
        <w:rPr>
          <w:rFonts w:eastAsia="仿宋" w:cs="Times New Roman"/>
          <w:b w:val="false"/>
          <w:color w:val="000000"/>
          <w:sz w:val="24"/>
        </w:rPr>
        <w:t>1—3</w:t>
      </w:r>
      <w:r>
        <w:rPr>
          <w:rFonts w:ascii="Times New Roman" w:hAnsi="Times New Roman" w:cs="Times New Roman"/>
          <w:b w:val="false"/>
          <w:color w:val="000000"/>
          <w:sz w:val="24"/>
        </w:rPr>
        <w:t>形成的特征数据、典型曲线、场景参数、分析方法和预测模型进行规范化集成，形成面向电网规划人员的中长期负荷预测模块。</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通过典型区域应用验证模块的数据适配性、模型适用性和预测结果合理性，并将预测结果与电源规划方案进行时序匹配分析，识别不同情景下规划方案的供需缺口和适应性短板，形成规划方案优化方向。</w:t>
      </w:r>
    </w:p>
    <w:p>
      <w:pPr>
        <w:pStyle w:val="Heading2"/>
        <w:keepNext w:val="true"/>
        <w:spacing w:before="120" w:after="100"/>
        <w:ind w:hanging="0" w:start="0" w:end="0"/>
        <w:rPr/>
      </w:pPr>
      <w:bookmarkStart w:id="3" w:name="__RefHeading___Toc3916_1443650120"/>
      <w:bookmarkEnd w:id="3"/>
      <w:r>
        <w:rPr>
          <w:rFonts w:ascii="Times New Roman" w:hAnsi="Times New Roman" w:cs="Times New Roman"/>
          <w:b/>
          <w:color w:val="000000"/>
          <w:sz w:val="28"/>
        </w:rPr>
        <w:t>编制依据</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项目可行性研究报告及其中课题</w:t>
      </w:r>
      <w:r>
        <w:rPr>
          <w:rFonts w:eastAsia="仿宋" w:cs="Times New Roman"/>
          <w:b w:val="false"/>
          <w:color w:val="000000"/>
          <w:sz w:val="24"/>
        </w:rPr>
        <w:t>4</w:t>
      </w:r>
      <w:r>
        <w:rPr>
          <w:rFonts w:ascii="Times New Roman" w:hAnsi="Times New Roman" w:cs="Times New Roman"/>
          <w:b w:val="false"/>
          <w:color w:val="000000"/>
          <w:sz w:val="24"/>
        </w:rPr>
        <w:t>研究内容、技术路线和预期指标。</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项目任务书及与课题研究内容相关的技术要求。</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课题</w:t>
      </w:r>
      <w:r>
        <w:rPr>
          <w:rFonts w:eastAsia="仿宋" w:cs="Times New Roman"/>
          <w:b w:val="false"/>
          <w:color w:val="000000"/>
          <w:sz w:val="24"/>
        </w:rPr>
        <w:t>1—3</w:t>
      </w:r>
      <w:r>
        <w:rPr>
          <w:rFonts w:ascii="Times New Roman" w:hAnsi="Times New Roman" w:cs="Times New Roman"/>
          <w:b w:val="false"/>
          <w:color w:val="000000"/>
          <w:sz w:val="24"/>
        </w:rPr>
        <w:t>形成的阶段性研究成果、数据产品和模型成果。</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电网中长期规划业务中关于负荷预测、供需平衡和源荷匹配分析的相关要求。</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用户单位关于本地部署、数据管理、运行环境和成果输出的相关要求。</w:t>
      </w:r>
    </w:p>
    <w:p>
      <w:pPr>
        <w:pStyle w:val="Heading2"/>
        <w:keepNext w:val="true"/>
        <w:spacing w:before="120" w:after="100"/>
        <w:ind w:hanging="0" w:start="0" w:end="0"/>
        <w:rPr/>
      </w:pPr>
      <w:bookmarkStart w:id="4" w:name="__RefHeading___Toc3918_1443650120"/>
      <w:bookmarkEnd w:id="4"/>
      <w:r>
        <w:rPr>
          <w:rFonts w:ascii="Times New Roman" w:hAnsi="Times New Roman" w:cs="Times New Roman"/>
          <w:b/>
          <w:color w:val="000000"/>
          <w:sz w:val="28"/>
        </w:rPr>
        <w:t>主要术语</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术语</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定义</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新型负荷</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在电能替代和新型电力系统建设背景下形成的电动汽车、数据中心、工业电锅炉、电制氢、新型储能、虚拟电厂聚合负荷等具有柔性、互动和多元特征的负荷。</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原型曲线</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用于描述某类新型负荷自身典型运行形态的对象级时序曲线。</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标准负荷曲线</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在典型区域、渗透率和运行模式条件下，经聚类、校验和标准化处理形成的场景级代表性负荷曲线。</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多情景预测</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在基准、低碳约束、强碳约束等不同边界条件下，对未来负荷规模、结构和时序特征分别开展预测。</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负荷发展路径</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按年份和情景形成的</w:t>
            </w: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年负荷规模、结构、典型曲线及预测区间数据集合。</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滚动修正</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在新增数据或情景参数发生变化后重新计算预测结果，并通过版本对比反映预测结果变化。</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源荷时序匹配</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将预测负荷曲线与电源可用容量或典型出力曲线按统一时间粒度进行对比，识别功率缺口、富余和匹配程度。</w:t>
            </w:r>
          </w:p>
        </w:tc>
      </w:tr>
    </w:tbl>
    <w:p>
      <w:pPr>
        <w:pStyle w:val="Normal"/>
        <w:spacing w:lineRule="auto" w:line="360" w:before="0" w:after="0"/>
        <w:ind w:hanging="0"/>
        <w:jc w:val="both"/>
        <w:rPr/>
      </w:pPr>
      <w:r>
        <w:rPr/>
      </w:r>
    </w:p>
    <w:p>
      <w:pPr>
        <w:pStyle w:val="Heading1"/>
        <w:keepNext w:val="true"/>
        <w:spacing w:before="200" w:after="100"/>
        <w:ind w:hanging="0" w:start="0" w:end="0"/>
        <w:rPr/>
      </w:pPr>
      <w:bookmarkStart w:id="5" w:name="__RefHeading___Toc3920_1443650120"/>
      <w:bookmarkEnd w:id="5"/>
      <w:r>
        <w:rPr>
          <w:rFonts w:ascii="Times New Roman" w:hAnsi="Times New Roman" w:cs="Times New Roman"/>
          <w:b/>
          <w:color w:val="000000"/>
          <w:sz w:val="32"/>
        </w:rPr>
        <w:t>研究目标与总体思路</w:t>
      </w:r>
    </w:p>
    <w:p>
      <w:pPr>
        <w:pStyle w:val="Heading2"/>
        <w:keepNext w:val="true"/>
        <w:spacing w:before="120" w:after="100"/>
        <w:ind w:hanging="0" w:start="0" w:end="0"/>
        <w:rPr/>
      </w:pPr>
      <w:bookmarkStart w:id="6" w:name="__RefHeading___Toc3922_1443650120"/>
      <w:bookmarkEnd w:id="6"/>
      <w:r>
        <w:rPr>
          <w:rFonts w:ascii="Times New Roman" w:hAnsi="Times New Roman" w:cs="Times New Roman"/>
          <w:b/>
          <w:color w:val="000000"/>
          <w:sz w:val="28"/>
        </w:rPr>
        <w:t>总体研究目标</w:t>
      </w:r>
    </w:p>
    <w:p>
      <w:pPr>
        <w:pStyle w:val="Style5"/>
        <w:spacing w:lineRule="auto" w:line="360" w:before="0" w:after="0"/>
        <w:ind w:firstLine="480" w:start="0" w:end="0"/>
        <w:jc w:val="both"/>
        <w:rPr/>
      </w:pPr>
      <w:r>
        <w:rPr>
          <w:rFonts w:ascii="Times New Roman" w:hAnsi="Times New Roman" w:cs="Times New Roman"/>
          <w:b w:val="false"/>
          <w:color w:val="000000"/>
          <w:sz w:val="24"/>
        </w:rPr>
        <w:t>面向电网中长期规划需求，研发融合多源数据、负荷特性分析和多重不确定性情景预测的中长期负荷预测模块，实现区域基础数据导入、负荷特性分析、多情景负荷预测、预测结果动态更新和源荷时序匹配评估，并在典型区域开展应用验证，形成规划方案匹配度提升方法。</w:t>
      </w:r>
    </w:p>
    <w:p>
      <w:pPr>
        <w:pStyle w:val="Heading2"/>
        <w:keepNext w:val="true"/>
        <w:spacing w:before="120" w:after="100"/>
        <w:ind w:hanging="0" w:start="0" w:end="0"/>
        <w:rPr/>
      </w:pPr>
      <w:bookmarkStart w:id="7" w:name="__RefHeading___Toc3924_1443650120"/>
      <w:bookmarkEnd w:id="7"/>
      <w:r>
        <w:rPr>
          <w:rFonts w:ascii="Times New Roman" w:hAnsi="Times New Roman" w:cs="Times New Roman"/>
          <w:b/>
          <w:color w:val="000000"/>
          <w:sz w:val="28"/>
        </w:rPr>
        <w:t>具体研究目标</w:t>
      </w:r>
    </w:p>
    <w:p>
      <w:pPr>
        <w:pStyle w:val="Heading3"/>
        <w:keepNext w:val="true"/>
        <w:spacing w:before="120" w:after="100"/>
        <w:ind w:hanging="0" w:start="0" w:end="0"/>
        <w:rPr/>
      </w:pPr>
      <w:r>
        <w:rPr>
          <w:rFonts w:ascii="Times New Roman" w:hAnsi="Times New Roman" w:cs="Times New Roman"/>
          <w:b/>
          <w:color w:val="000000"/>
          <w:sz w:val="24"/>
        </w:rPr>
        <w:t>中长期负荷预测模块研发目标</w:t>
      </w:r>
    </w:p>
    <w:p>
      <w:pPr>
        <w:pStyle w:val="Style5"/>
        <w:spacing w:lineRule="auto" w:line="360" w:before="0" w:after="0"/>
        <w:ind w:firstLine="480" w:start="0" w:end="0"/>
        <w:jc w:val="both"/>
        <w:rPr/>
      </w:pPr>
      <w:r>
        <w:rPr>
          <w:rFonts w:ascii="Times New Roman" w:hAnsi="Times New Roman" w:cs="Times New Roman"/>
          <w:b w:val="false"/>
          <w:color w:val="000000"/>
          <w:sz w:val="24"/>
        </w:rPr>
        <w:t>形成一套</w:t>
      </w:r>
      <w:r>
        <w:rPr>
          <w:rFonts w:eastAsia="仿宋" w:cs="Times New Roman"/>
          <w:b w:val="false"/>
          <w:color w:val="000000"/>
          <w:sz w:val="24"/>
        </w:rPr>
        <w:t>Windows</w:t>
      </w:r>
      <w:r>
        <w:rPr>
          <w:rFonts w:ascii="Times New Roman" w:hAnsi="Times New Roman" w:cs="Times New Roman"/>
          <w:b w:val="false"/>
          <w:color w:val="000000"/>
          <w:sz w:val="24"/>
        </w:rPr>
        <w:t>单机离线便携式中长期负荷预测模块，以免安装</w:t>
      </w:r>
      <w:r>
        <w:rPr>
          <w:rFonts w:eastAsia="仿宋" w:cs="Times New Roman"/>
          <w:b w:val="false"/>
          <w:color w:val="000000"/>
          <w:sz w:val="24"/>
        </w:rPr>
        <w:t>ZIP</w:t>
      </w:r>
      <w:r>
        <w:rPr>
          <w:rFonts w:ascii="Times New Roman" w:hAnsi="Times New Roman" w:cs="Times New Roman"/>
          <w:b w:val="false"/>
          <w:color w:val="000000"/>
          <w:sz w:val="24"/>
        </w:rPr>
        <w:t>形式交付。用户解压后通过统一启动程序在本机启动业务服务和算法环境，并由本机浏览器完成负荷现状分析、三类情景预测、预测版本对比、结果导出和报告生成。系统不依赖外部网络或独立服务器。</w:t>
      </w:r>
    </w:p>
    <w:p>
      <w:pPr>
        <w:pStyle w:val="Heading3"/>
        <w:keepNext w:val="true"/>
        <w:spacing w:before="120" w:after="100"/>
        <w:ind w:hanging="0" w:start="0" w:end="0"/>
        <w:rPr/>
      </w:pPr>
      <w:r>
        <w:rPr>
          <w:rFonts w:ascii="Times New Roman" w:hAnsi="Times New Roman" w:cs="Times New Roman"/>
          <w:b/>
          <w:color w:val="000000"/>
          <w:sz w:val="24"/>
        </w:rPr>
        <w:t>典型区域验证目标</w:t>
      </w:r>
    </w:p>
    <w:p>
      <w:pPr>
        <w:pStyle w:val="Style5"/>
        <w:spacing w:lineRule="auto" w:line="360" w:before="0" w:after="0"/>
        <w:ind w:firstLine="480" w:start="0" w:end="0"/>
        <w:jc w:val="both"/>
        <w:rPr/>
      </w:pPr>
      <w:r>
        <w:rPr>
          <w:rFonts w:ascii="Times New Roman" w:hAnsi="Times New Roman" w:cs="Times New Roman"/>
          <w:b w:val="false"/>
          <w:color w:val="000000"/>
          <w:sz w:val="24"/>
        </w:rPr>
        <w:t>在高电气化工业基地和电动汽车高渗透率城市分别开展应用验证，通过区域数据准备、情景配置、模型调用、结果分析和参数校准，验证模块在不同负荷结构、不同发展模式和不同数据条件下的适用性。</w:t>
      </w:r>
    </w:p>
    <w:p>
      <w:pPr>
        <w:pStyle w:val="Heading3"/>
        <w:keepNext w:val="true"/>
        <w:spacing w:before="120" w:after="100"/>
        <w:ind w:hanging="0" w:start="0" w:end="0"/>
        <w:rPr/>
      </w:pPr>
      <w:r>
        <w:rPr>
          <w:rFonts w:ascii="Times New Roman" w:hAnsi="Times New Roman" w:cs="Times New Roman"/>
          <w:b/>
          <w:color w:val="000000"/>
          <w:sz w:val="24"/>
        </w:rPr>
        <w:t>规划方案匹配度提升目标</w:t>
      </w:r>
    </w:p>
    <w:p>
      <w:pPr>
        <w:pStyle w:val="Style5"/>
        <w:spacing w:lineRule="auto" w:line="360" w:before="0" w:after="0"/>
        <w:ind w:firstLine="480" w:start="0" w:end="0"/>
        <w:jc w:val="both"/>
        <w:rPr/>
      </w:pPr>
      <w:r>
        <w:rPr>
          <w:rFonts w:ascii="Times New Roman" w:hAnsi="Times New Roman" w:cs="Times New Roman"/>
          <w:b w:val="false"/>
          <w:color w:val="000000"/>
          <w:sz w:val="24"/>
        </w:rPr>
        <w:t>基于典型区域形成的多情景负荷预测结果，导入电源规划与典型出力数据，开展逐时段源荷匹配分析，识别最大供电缺口、缺口持续时间、新能源消纳和方案适应性等问题，并形成规划方案对比结果和优化方向。</w:t>
      </w:r>
    </w:p>
    <w:p>
      <w:pPr>
        <w:pStyle w:val="Heading2"/>
        <w:keepNext w:val="true"/>
        <w:spacing w:before="120" w:after="100"/>
        <w:ind w:hanging="0" w:start="0" w:end="0"/>
        <w:rPr/>
      </w:pPr>
      <w:bookmarkStart w:id="8" w:name="__RefHeading___Toc3926_1443650120"/>
      <w:bookmarkEnd w:id="8"/>
      <w:r>
        <w:rPr>
          <w:rFonts w:ascii="Times New Roman" w:hAnsi="Times New Roman" w:cs="Times New Roman"/>
          <w:b/>
          <w:color w:val="000000"/>
          <w:sz w:val="28"/>
        </w:rPr>
        <w:t>总体实施思路</w:t>
      </w:r>
    </w:p>
    <w:p>
      <w:pPr>
        <w:pStyle w:val="Style5"/>
        <w:spacing w:lineRule="auto" w:line="360" w:before="0" w:after="0"/>
        <w:ind w:firstLine="480" w:start="0" w:end="0"/>
        <w:jc w:val="both"/>
        <w:rPr/>
      </w:pPr>
      <w:r>
        <w:rPr>
          <w:rFonts w:ascii="Times New Roman" w:hAnsi="Times New Roman" w:cs="Times New Roman"/>
          <w:b w:val="false"/>
          <w:color w:val="000000"/>
          <w:sz w:val="24"/>
        </w:rPr>
        <w:t>总体实施采用“成果梳理—标准化集成—模块研发—区域验证—规划应用”的技术路线。首先梳理课题</w:t>
      </w:r>
      <w:r>
        <w:rPr>
          <w:rFonts w:eastAsia="仿宋" w:cs="Times New Roman"/>
          <w:b w:val="false"/>
          <w:color w:val="000000"/>
          <w:sz w:val="24"/>
        </w:rPr>
        <w:t>1—3</w:t>
      </w:r>
      <w:r>
        <w:rPr>
          <w:rFonts w:ascii="Times New Roman" w:hAnsi="Times New Roman" w:cs="Times New Roman"/>
          <w:b w:val="false"/>
          <w:color w:val="000000"/>
          <w:sz w:val="24"/>
        </w:rPr>
        <w:t>可供软件调用的数据与模型成果，形成统一的数据模板和模型接口；其次完成基础版中长期负荷预测模块研发；然后选取两类典型区域开展数据适配和模型校准；最后利用预测结果开展源荷时序匹配和规划方案分析，并将应用反馈用于完善模块。</w:t>
      </w:r>
    </w:p>
    <w:p>
      <w:pPr>
        <w:pStyle w:val="Normal"/>
        <w:ind w:hanging="0"/>
        <w:jc w:val="center"/>
        <w:rPr/>
      </w:pPr>
      <w:r>
        <w:rPr/>
        <w:drawing>
          <wp:inline distT="0" distB="0" distL="0" distR="0">
            <wp:extent cx="5328285" cy="1932940"/>
            <wp:effectExtent l="0" t="0" r="0" b="0"/>
            <wp:docPr id="1"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title=""/>
                    <pic:cNvPicPr>
                      <a:picLocks noChangeAspect="1" noChangeArrowheads="1"/>
                    </pic:cNvPicPr>
                  </pic:nvPicPr>
                  <pic:blipFill>
                    <a:blip r:embed="rId2"/>
                    <a:stretch>
                      <a:fillRect/>
                    </a:stretch>
                  </pic:blipFill>
                  <pic:spPr bwMode="auto">
                    <a:xfrm>
                      <a:off x="0" y="0"/>
                      <a:ext cx="5328285" cy="1932940"/>
                    </a:xfrm>
                    <a:prstGeom prst="rect">
                      <a:avLst/>
                    </a:prstGeom>
                    <a:noFill/>
                  </pic:spPr>
                </pic:pic>
              </a:graphicData>
            </a:graphic>
          </wp:inline>
        </w:drawing>
      </w:r>
    </w:p>
    <w:p>
      <w:pPr>
        <w:pStyle w:val="Caption"/>
        <w:keepNext w:val="true"/>
        <w:spacing w:lineRule="auto" w:line="360" w:before="80" w:after="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2-1 </w:t>
      </w:r>
      <w:r>
        <w:rPr>
          <w:rFonts w:ascii="Times New Roman" w:hAnsi="Times New Roman" w:cs="Times New Roman"/>
          <w:b w:val="false"/>
          <w:color w:val="000000"/>
          <w:sz w:val="21"/>
        </w:rPr>
        <w:t>课题</w:t>
      </w:r>
      <w:r>
        <w:rPr>
          <w:rFonts w:eastAsia="黑体" w:cs="Times New Roman"/>
          <w:b w:val="false"/>
          <w:color w:val="000000"/>
          <w:sz w:val="21"/>
        </w:rPr>
        <w:t>4</w:t>
      </w:r>
      <w:r>
        <w:rPr>
          <w:rFonts w:ascii="Times New Roman" w:hAnsi="Times New Roman" w:cs="Times New Roman"/>
          <w:b w:val="false"/>
          <w:color w:val="000000"/>
          <w:sz w:val="21"/>
        </w:rPr>
        <w:t>总体实施技术路线</w:t>
      </w:r>
    </w:p>
    <w:p>
      <w:pPr>
        <w:pStyle w:val="Heading2"/>
        <w:keepNext w:val="true"/>
        <w:spacing w:before="120" w:after="100"/>
        <w:ind w:hanging="0" w:start="0" w:end="0"/>
        <w:rPr/>
      </w:pPr>
      <w:bookmarkStart w:id="9" w:name="__RefHeading___Toc3928_1443650120"/>
      <w:bookmarkEnd w:id="9"/>
      <w:r>
        <w:rPr>
          <w:rFonts w:ascii="Times New Roman" w:hAnsi="Times New Roman" w:cs="Times New Roman"/>
          <w:b/>
          <w:color w:val="000000"/>
          <w:sz w:val="28"/>
        </w:rPr>
        <w:t>三项研究任务及成果关系</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研究任务</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主要研究内容</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阶段性成果</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1</w:t>
            </w:r>
            <w:r>
              <w:rPr>
                <w:rFonts w:ascii="Times New Roman" w:hAnsi="Times New Roman" w:cs="Times New Roman"/>
                <w:b w:val="false"/>
                <w:color w:val="000000"/>
                <w:kern w:val="0"/>
                <w:sz w:val="21"/>
                <w:szCs w:val="22"/>
                <w:lang w:val="en-US" w:eastAsia="en-US" w:bidi="ar-SA"/>
              </w:rPr>
              <w:t>：中长期负荷预测模块研发</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统一数据输入、集成特性分析与预测模型、配置多情景参数、形成预测结果和版本对比。</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中长期负荷预测模块、数据模板、模型接口、预测结果数据和分析报告。</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2</w:t>
            </w:r>
            <w:r>
              <w:rPr>
                <w:rFonts w:ascii="Times New Roman" w:hAnsi="Times New Roman" w:cs="Times New Roman"/>
                <w:b w:val="false"/>
                <w:color w:val="000000"/>
                <w:kern w:val="0"/>
                <w:sz w:val="21"/>
                <w:szCs w:val="22"/>
                <w:lang w:val="en-US" w:eastAsia="en-US" w:bidi="ar-SA"/>
              </w:rPr>
              <w:t>：典型区域验证</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在两类典型区域开展数据接入、参数配置、预测计算、结果校准和适用性分析。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两类典型区域预测结果、参数校准结果、模块优化建议。</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3</w:t>
            </w:r>
            <w:r>
              <w:rPr>
                <w:rFonts w:ascii="Times New Roman" w:hAnsi="Times New Roman" w:cs="Times New Roman"/>
                <w:b w:val="false"/>
                <w:color w:val="000000"/>
                <w:kern w:val="0"/>
                <w:sz w:val="21"/>
                <w:szCs w:val="22"/>
                <w:lang w:val="en-US" w:eastAsia="en-US" w:bidi="ar-SA"/>
              </w:rPr>
              <w:t>：规划方案匹配度提升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导入电源规划数据，开展源荷时序匹配、方案对比、短板识别和优化方向研究。</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源荷匹配结果、规划方案对比结果、匹配度提升分析及标准化应用流程。</w:t>
            </w:r>
          </w:p>
        </w:tc>
      </w:tr>
    </w:tbl>
    <w:p>
      <w:pPr>
        <w:pStyle w:val="Normal"/>
        <w:spacing w:lineRule="auto" w:line="360" w:before="0" w:after="0"/>
        <w:ind w:hanging="0"/>
        <w:jc w:val="both"/>
        <w:rPr/>
      </w:pPr>
      <w:r>
        <w:rPr/>
      </w:r>
    </w:p>
    <w:p>
      <w:pPr>
        <w:pStyle w:val="Heading1"/>
        <w:keepNext w:val="true"/>
        <w:spacing w:before="200" w:after="100"/>
        <w:ind w:hanging="0" w:start="0" w:end="0"/>
        <w:rPr/>
      </w:pPr>
      <w:bookmarkStart w:id="10" w:name="__RefHeading___Toc3930_1443650120"/>
      <w:bookmarkEnd w:id="10"/>
      <w:r>
        <w:rPr>
          <w:rFonts w:ascii="Times New Roman" w:hAnsi="Times New Roman" w:cs="Times New Roman"/>
          <w:b/>
          <w:color w:val="000000"/>
          <w:sz w:val="32"/>
        </w:rPr>
        <w:t>课题总体技术方案</w:t>
      </w:r>
    </w:p>
    <w:p>
      <w:pPr>
        <w:pStyle w:val="Heading2"/>
        <w:keepNext w:val="true"/>
        <w:spacing w:before="120" w:after="100"/>
        <w:ind w:hanging="0" w:start="0" w:end="0"/>
        <w:rPr/>
      </w:pPr>
      <w:bookmarkStart w:id="11" w:name="__RefHeading___Toc3932_1443650120"/>
      <w:bookmarkEnd w:id="11"/>
      <w:r>
        <w:rPr>
          <w:rFonts w:ascii="Times New Roman" w:hAnsi="Times New Roman" w:cs="Times New Roman"/>
          <w:b/>
          <w:color w:val="000000"/>
          <w:sz w:val="28"/>
        </w:rPr>
        <w:t>总体技术路线</w:t>
      </w:r>
    </w:p>
    <w:p>
      <w:pPr>
        <w:pStyle w:val="Style5"/>
        <w:spacing w:lineRule="auto" w:line="360" w:before="0" w:after="0"/>
        <w:ind w:firstLine="480" w:start="0" w:end="0"/>
        <w:jc w:val="both"/>
        <w:rPr/>
      </w:pPr>
      <w:r>
        <w:rPr>
          <w:rFonts w:ascii="Times New Roman" w:hAnsi="Times New Roman" w:cs="Times New Roman"/>
          <w:b w:val="false"/>
          <w:color w:val="000000"/>
          <w:sz w:val="24"/>
        </w:rPr>
        <w:t>任务</w:t>
      </w:r>
      <w:r>
        <w:rPr>
          <w:rFonts w:eastAsia="仿宋" w:cs="Times New Roman"/>
          <w:b w:val="false"/>
          <w:color w:val="000000"/>
          <w:sz w:val="24"/>
        </w:rPr>
        <w:t>1</w:t>
      </w:r>
      <w:r>
        <w:rPr>
          <w:rFonts w:ascii="Times New Roman" w:hAnsi="Times New Roman" w:cs="Times New Roman"/>
          <w:b w:val="false"/>
          <w:color w:val="000000"/>
          <w:sz w:val="24"/>
        </w:rPr>
        <w:t>形成模块和分析能力，任务</w:t>
      </w:r>
      <w:r>
        <w:rPr>
          <w:rFonts w:eastAsia="仿宋" w:cs="Times New Roman"/>
          <w:b w:val="false"/>
          <w:color w:val="000000"/>
          <w:sz w:val="24"/>
        </w:rPr>
        <w:t>2</w:t>
      </w:r>
      <w:r>
        <w:rPr>
          <w:rFonts w:ascii="Times New Roman" w:hAnsi="Times New Roman" w:cs="Times New Roman"/>
          <w:b w:val="false"/>
          <w:color w:val="000000"/>
          <w:sz w:val="24"/>
        </w:rPr>
        <w:t>通过典型区域验证模块和模型，任务</w:t>
      </w:r>
      <w:r>
        <w:rPr>
          <w:rFonts w:eastAsia="仿宋" w:cs="Times New Roman"/>
          <w:b w:val="false"/>
          <w:color w:val="000000"/>
          <w:sz w:val="24"/>
        </w:rPr>
        <w:t>3</w:t>
      </w:r>
      <w:r>
        <w:rPr>
          <w:rFonts w:ascii="Times New Roman" w:hAnsi="Times New Roman" w:cs="Times New Roman"/>
          <w:b w:val="false"/>
          <w:color w:val="000000"/>
          <w:sz w:val="24"/>
        </w:rPr>
        <w:t>将经验证的负荷预测结果应用于规划方案分析。三项任务顺序衔接、相互反馈：模块为区域验证提供工具，区域验证为规划应用提供可信预测结果，规划应用反馈进一步完善情景边界、模型参数和结果展示。</w:t>
      </w:r>
    </w:p>
    <w:p>
      <w:pPr>
        <w:pStyle w:val="Heading2"/>
        <w:keepNext w:val="true"/>
        <w:spacing w:before="120" w:after="100"/>
        <w:ind w:hanging="0" w:start="0" w:end="0"/>
        <w:rPr/>
      </w:pPr>
      <w:bookmarkStart w:id="12" w:name="__RefHeading___Toc3934_1443650120"/>
      <w:bookmarkEnd w:id="12"/>
      <w:r>
        <w:rPr>
          <w:rFonts w:ascii="Times New Roman" w:hAnsi="Times New Roman" w:cs="Times New Roman"/>
          <w:b/>
          <w:color w:val="000000"/>
          <w:sz w:val="28"/>
        </w:rPr>
        <w:t>前序课题成果衔接关系</w:t>
      </w:r>
    </w:p>
    <w:p>
      <w:pPr>
        <w:pStyle w:val="Normal"/>
        <w:spacing w:lineRule="auto" w:line="360" w:before="0" w:after="0"/>
        <w:ind w:hanging="0"/>
        <w:jc w:val="both"/>
        <w:rPr/>
      </w:pPr>
      <w:r>
        <w:rPr/>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作为项目研究成果的软件化、模块化和应用化载体，不重复开展课题</w:t>
      </w:r>
      <w:r>
        <w:rPr>
          <w:rFonts w:eastAsia="仿宋" w:cs="Times New Roman"/>
          <w:b w:val="false"/>
          <w:color w:val="000000"/>
          <w:sz w:val="24"/>
        </w:rPr>
        <w:t>1—3</w:t>
      </w:r>
      <w:r>
        <w:rPr>
          <w:rFonts w:ascii="Times New Roman" w:hAnsi="Times New Roman" w:cs="Times New Roman"/>
          <w:b w:val="false"/>
          <w:color w:val="000000"/>
          <w:sz w:val="24"/>
        </w:rPr>
        <w:t>已承担的基础机理、负荷特性和多情景预测方法研究，而是通过标准化成果接口承接前序课题形成的数据、指标、曲线、情景参数、模型和预测结果。接口设计以“成果归属清晰、数据口径统一、模型可独立调用、结果结构一致、全过程可追溯”为基本原则，使前序科研成果能够稳定进入课题</w:t>
      </w:r>
      <w:r>
        <w:rPr>
          <w:rFonts w:eastAsia="仿宋" w:cs="Times New Roman"/>
          <w:b w:val="false"/>
          <w:color w:val="000000"/>
          <w:sz w:val="24"/>
        </w:rPr>
        <w:t>4</w:t>
      </w:r>
      <w:r>
        <w:rPr>
          <w:rFonts w:ascii="Times New Roman" w:hAnsi="Times New Roman" w:cs="Times New Roman"/>
          <w:b w:val="false"/>
          <w:color w:val="000000"/>
          <w:sz w:val="24"/>
        </w:rPr>
        <w:t>的模块研发、典型区域验证和规划分析环节。</w:t>
      </w:r>
    </w:p>
    <w:p>
      <w:pPr>
        <w:pStyle w:val="Normal"/>
        <w:ind w:hanging="0"/>
        <w:jc w:val="center"/>
        <w:rPr/>
      </w:pPr>
      <w:r>
        <w:rPr/>
        <w:drawing>
          <wp:inline distT="0" distB="0" distL="0" distR="0">
            <wp:extent cx="5471795" cy="3871595"/>
            <wp:effectExtent l="0" t="0" r="0" b="0"/>
            <wp:docPr id="2"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 title=""/>
                    <pic:cNvPicPr>
                      <a:picLocks noChangeAspect="1" noChangeArrowheads="1"/>
                    </pic:cNvPicPr>
                  </pic:nvPicPr>
                  <pic:blipFill>
                    <a:blip r:embed="rId3"/>
                    <a:stretch>
                      <a:fillRect/>
                    </a:stretch>
                  </pic:blipFill>
                  <pic:spPr bwMode="auto">
                    <a:xfrm>
                      <a:off x="0" y="0"/>
                      <a:ext cx="5471795" cy="3871595"/>
                    </a:xfrm>
                    <a:prstGeom prst="rect">
                      <a:avLst/>
                    </a:prstGeom>
                    <a:noFill/>
                  </pic:spPr>
                </pic:pic>
              </a:graphicData>
            </a:graphic>
          </wp:inline>
        </w:drawing>
      </w:r>
    </w:p>
    <w:p>
      <w:pPr>
        <w:pStyle w:val="Caption"/>
        <w:keepNext w:val="true"/>
        <w:spacing w:lineRule="auto" w:line="360" w:before="80" w:after="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3-1 </w:t>
      </w:r>
      <w:r>
        <w:rPr>
          <w:rFonts w:ascii="Times New Roman" w:hAnsi="Times New Roman" w:cs="Times New Roman"/>
          <w:b w:val="false"/>
          <w:color w:val="000000"/>
          <w:sz w:val="21"/>
        </w:rPr>
        <w:t>课题</w:t>
      </w:r>
      <w:r>
        <w:rPr>
          <w:rFonts w:eastAsia="黑体" w:cs="Times New Roman"/>
          <w:b w:val="false"/>
          <w:color w:val="000000"/>
          <w:sz w:val="21"/>
        </w:rPr>
        <w:t>4</w:t>
      </w:r>
      <w:r>
        <w:rPr>
          <w:rFonts w:ascii="Times New Roman" w:hAnsi="Times New Roman" w:cs="Times New Roman"/>
          <w:b w:val="false"/>
          <w:color w:val="000000"/>
          <w:sz w:val="21"/>
        </w:rPr>
        <w:t>与前序课题成果衔接及集成应用关系图</w:t>
      </w:r>
    </w:p>
    <w:p>
      <w:pPr>
        <w:pStyle w:val="Heading3"/>
        <w:ind w:hanging="0" w:start="0" w:end="0"/>
        <w:rPr/>
      </w:pPr>
      <w:r>
        <w:rPr>
          <w:rFonts w:ascii="Times New Roman" w:hAnsi="Times New Roman" w:cs="Times New Roman"/>
          <w:b/>
          <w:color w:val="000000"/>
          <w:sz w:val="24"/>
        </w:rPr>
        <w:t>总体衔接原则</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定位为项目前序研究成果的软件化、模块化和应用化载体，主要承接课题</w:t>
      </w:r>
      <w:r>
        <w:rPr>
          <w:rFonts w:eastAsia="仿宋" w:cs="Times New Roman"/>
          <w:b w:val="false"/>
          <w:color w:val="000000"/>
          <w:sz w:val="24"/>
        </w:rPr>
        <w:t>1—3</w:t>
      </w:r>
      <w:r>
        <w:rPr>
          <w:rFonts w:ascii="Times New Roman" w:hAnsi="Times New Roman" w:cs="Times New Roman"/>
          <w:b w:val="false"/>
          <w:color w:val="000000"/>
          <w:sz w:val="24"/>
        </w:rPr>
        <w:t>形成的数据、指标、曲线、情景参数、模型及预测结果，并在此基础上开展模块集成、典型区域验证和规划分析。课题</w:t>
      </w:r>
      <w:r>
        <w:rPr>
          <w:rFonts w:eastAsia="仿宋" w:cs="Times New Roman"/>
          <w:b w:val="false"/>
          <w:color w:val="000000"/>
          <w:sz w:val="24"/>
        </w:rPr>
        <w:t>4</w:t>
      </w:r>
      <w:r>
        <w:rPr>
          <w:rFonts w:ascii="Times New Roman" w:hAnsi="Times New Roman" w:cs="Times New Roman"/>
          <w:b w:val="false"/>
          <w:color w:val="000000"/>
          <w:sz w:val="24"/>
        </w:rPr>
        <w:t>原则上不重复开展前序课题已经承担的基础机理、负荷特性和多情景预测方法研究。</w:t>
      </w:r>
    </w:p>
    <w:p>
      <w:pPr>
        <w:pStyle w:val="Style5"/>
        <w:spacing w:lineRule="auto" w:line="360" w:before="0" w:after="0"/>
        <w:ind w:firstLine="480" w:start="0" w:end="0"/>
        <w:jc w:val="both"/>
        <w:rPr/>
      </w:pPr>
      <w:r>
        <w:rPr>
          <w:rFonts w:ascii="Times New Roman" w:hAnsi="Times New Roman" w:cs="Times New Roman"/>
          <w:b w:val="false"/>
          <w:color w:val="000000"/>
          <w:sz w:val="24"/>
        </w:rPr>
        <w:t>考虑课题</w:t>
      </w:r>
      <w:r>
        <w:rPr>
          <w:rFonts w:eastAsia="仿宋" w:cs="Times New Roman"/>
          <w:b w:val="false"/>
          <w:color w:val="000000"/>
          <w:sz w:val="24"/>
        </w:rPr>
        <w:t>2</w:t>
      </w:r>
      <w:r>
        <w:rPr>
          <w:rFonts w:ascii="Times New Roman" w:hAnsi="Times New Roman" w:cs="Times New Roman"/>
          <w:b w:val="false"/>
          <w:color w:val="000000"/>
          <w:sz w:val="24"/>
        </w:rPr>
        <w:t>相关前序研究任务及课题</w:t>
      </w:r>
      <w:r>
        <w:rPr>
          <w:rFonts w:eastAsia="仿宋" w:cs="Times New Roman"/>
          <w:b w:val="false"/>
          <w:color w:val="000000"/>
          <w:sz w:val="24"/>
        </w:rPr>
        <w:t>3</w:t>
      </w:r>
      <w:r>
        <w:rPr>
          <w:rFonts w:ascii="Times New Roman" w:hAnsi="Times New Roman" w:cs="Times New Roman"/>
          <w:b w:val="false"/>
          <w:color w:val="000000"/>
          <w:sz w:val="24"/>
        </w:rPr>
        <w:t>由其他承担单位负责，当前阶段仅从课题</w:t>
      </w:r>
      <w:r>
        <w:rPr>
          <w:rFonts w:eastAsia="仿宋" w:cs="Times New Roman"/>
          <w:b w:val="false"/>
          <w:color w:val="000000"/>
          <w:sz w:val="24"/>
        </w:rPr>
        <w:t>4</w:t>
      </w:r>
      <w:r>
        <w:rPr>
          <w:rFonts w:ascii="Times New Roman" w:hAnsi="Times New Roman" w:cs="Times New Roman"/>
          <w:b w:val="false"/>
          <w:color w:val="000000"/>
          <w:sz w:val="24"/>
        </w:rPr>
        <w:t>应用需求出发明确成果衔接方向，不预设其他承担单位的具体技术实现、模型形式和交付字段。相关接口细节将在跨课题专题协调后逐步确认并固化。</w:t>
      </w:r>
    </w:p>
    <w:p>
      <w:pPr>
        <w:pStyle w:val="Heading3"/>
        <w:ind w:hanging="0" w:start="0" w:end="0"/>
        <w:rPr/>
      </w:pPr>
      <w:r>
        <w:rPr>
          <w:rFonts w:ascii="Times New Roman" w:hAnsi="Times New Roman" w:cs="Times New Roman"/>
          <w:b/>
          <w:color w:val="000000"/>
          <w:sz w:val="24"/>
        </w:rPr>
        <w:t>前序课题成果初步衔接需求</w:t>
      </w:r>
    </w:p>
    <w:p>
      <w:pPr>
        <w:pStyle w:val="Style5"/>
        <w:spacing w:lineRule="auto" w:line="360" w:before="0" w:after="0"/>
        <w:ind w:firstLine="480" w:start="0" w:end="0"/>
        <w:jc w:val="both"/>
        <w:rPr/>
      </w:pPr>
      <w:r>
        <w:rPr>
          <w:rFonts w:ascii="Times New Roman" w:hAnsi="Times New Roman" w:cs="Times New Roman"/>
          <w:b w:val="false"/>
          <w:color w:val="000000"/>
          <w:sz w:val="24"/>
        </w:rPr>
        <w:t>依据可研确定的课题分工和课题</w:t>
      </w:r>
      <w:r>
        <w:rPr>
          <w:rFonts w:eastAsia="仿宋" w:cs="Times New Roman"/>
          <w:b w:val="false"/>
          <w:color w:val="000000"/>
          <w:sz w:val="24"/>
        </w:rPr>
        <w:t>4</w:t>
      </w:r>
      <w:r>
        <w:rPr>
          <w:rFonts w:ascii="Times New Roman" w:hAnsi="Times New Roman" w:cs="Times New Roman"/>
          <w:b w:val="false"/>
          <w:color w:val="000000"/>
          <w:sz w:val="24"/>
        </w:rPr>
        <w:t>当前实施需求，前序课题与课题</w:t>
      </w:r>
      <w:r>
        <w:rPr>
          <w:rFonts w:eastAsia="仿宋" w:cs="Times New Roman"/>
          <w:b w:val="false"/>
          <w:color w:val="000000"/>
          <w:sz w:val="24"/>
        </w:rPr>
        <w:t>4</w:t>
      </w:r>
      <w:r>
        <w:rPr>
          <w:rFonts w:ascii="Times New Roman" w:hAnsi="Times New Roman" w:cs="Times New Roman"/>
          <w:b w:val="false"/>
          <w:color w:val="000000"/>
          <w:sz w:val="24"/>
        </w:rPr>
        <w:t>的初步成果衔接关系见表</w:t>
      </w:r>
      <w:r>
        <w:rPr>
          <w:rFonts w:eastAsia="仿宋" w:cs="Times New Roman"/>
          <w:b w:val="false"/>
          <w:color w:val="000000"/>
          <w:sz w:val="24"/>
        </w:rPr>
        <w:t>3-1</w:t>
      </w:r>
      <w:r>
        <w:rPr>
          <w:rFonts w:ascii="Times New Roman" w:hAnsi="Times New Roman" w:cs="Times New Roman"/>
          <w:b w:val="false"/>
          <w:color w:val="000000"/>
          <w:sz w:val="24"/>
        </w:rPr>
        <w:t>。现阶段重点明确“前序课题提供什么成果、课题</w:t>
      </w:r>
      <w:r>
        <w:rPr>
          <w:rFonts w:eastAsia="仿宋" w:cs="Times New Roman"/>
          <w:b w:val="false"/>
          <w:color w:val="000000"/>
          <w:sz w:val="24"/>
        </w:rPr>
        <w:t>4</w:t>
      </w:r>
      <w:r>
        <w:rPr>
          <w:rFonts w:ascii="Times New Roman" w:hAnsi="Times New Roman" w:cs="Times New Roman"/>
          <w:b w:val="false"/>
          <w:color w:val="000000"/>
          <w:sz w:val="24"/>
        </w:rPr>
        <w:t>如何使用以及后续需要共同确认什么”，避免在前序研究尚未形成稳定成果前过早固化具体接口。</w:t>
      </w:r>
    </w:p>
    <w:p>
      <w:pPr>
        <w:pStyle w:val="Caption"/>
        <w:keepNext w:val="true"/>
        <w:spacing w:lineRule="auto" w:line="240" w:before="80" w:after="120"/>
        <w:ind w:hanging="0"/>
        <w:jc w:val="center"/>
        <w:rPr/>
      </w:pPr>
      <w:r>
        <w:rPr>
          <w:rFonts w:ascii="Times New Roman" w:hAnsi="Times New Roman" w:cs="Times New Roman"/>
          <w:b w:val="false"/>
          <w:color w:val="000000"/>
          <w:sz w:val="21"/>
        </w:rPr>
        <w:t>表</w:t>
      </w:r>
      <w:r>
        <w:rPr>
          <w:rFonts w:eastAsia="黑体" w:cs="Times New Roman"/>
          <w:b w:val="false"/>
          <w:color w:val="000000"/>
          <w:sz w:val="21"/>
        </w:rPr>
        <w:t xml:space="preserve">3-1 </w:t>
      </w:r>
      <w:r>
        <w:rPr>
          <w:rFonts w:ascii="Times New Roman" w:hAnsi="Times New Roman" w:cs="Times New Roman"/>
          <w:b w:val="false"/>
          <w:color w:val="000000"/>
          <w:sz w:val="21"/>
        </w:rPr>
        <w:t>前序课题成果初步衔接需求表</w:t>
      </w:r>
    </w:p>
    <w:tbl>
      <w:tblPr>
        <w:tblStyle w:val="TableGrid"/>
        <w:tblW w:w="8956"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239"/>
        <w:gridCol w:w="2239"/>
        <w:gridCol w:w="2239"/>
        <w:gridCol w:w="2238"/>
      </w:tblGrid>
      <w:tr>
        <w:trPr>
          <w:tblHeader w:val="true"/>
          <w:cantSplit w:val="true"/>
        </w:trPr>
        <w:tc>
          <w:tcPr>
            <w:tcW w:w="223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来源课题</w:t>
            </w:r>
          </w:p>
        </w:tc>
        <w:tc>
          <w:tcPr>
            <w:tcW w:w="223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课题</w:t>
            </w:r>
            <w:r>
              <w:rPr>
                <w:rFonts w:eastAsia="黑体" w:cs="Times New Roman"/>
                <w:b/>
                <w:color w:val="000000"/>
                <w:kern w:val="0"/>
                <w:sz w:val="21"/>
                <w:szCs w:val="22"/>
                <w:lang w:val="en-US" w:eastAsia="en-US" w:bidi="ar-SA"/>
              </w:rPr>
              <w:t>4</w:t>
            </w:r>
            <w:r>
              <w:rPr>
                <w:rFonts w:ascii="Times New Roman" w:hAnsi="Times New Roman" w:cs="Times New Roman"/>
                <w:b/>
                <w:color w:val="000000"/>
                <w:kern w:val="0"/>
                <w:sz w:val="21"/>
                <w:szCs w:val="22"/>
                <w:lang w:val="en-US" w:eastAsia="en-US" w:bidi="ar-SA"/>
              </w:rPr>
              <w:t>初步需要的成果</w:t>
            </w:r>
          </w:p>
        </w:tc>
        <w:tc>
          <w:tcPr>
            <w:tcW w:w="223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课题</w:t>
            </w:r>
            <w:r>
              <w:rPr>
                <w:rFonts w:eastAsia="黑体" w:cs="Times New Roman"/>
                <w:b/>
                <w:color w:val="000000"/>
                <w:kern w:val="0"/>
                <w:sz w:val="21"/>
                <w:szCs w:val="22"/>
                <w:lang w:val="en-US" w:eastAsia="en-US" w:bidi="ar-SA"/>
              </w:rPr>
              <w:t>4</w:t>
            </w:r>
            <w:r>
              <w:rPr>
                <w:rFonts w:ascii="Times New Roman" w:hAnsi="Times New Roman" w:cs="Times New Roman"/>
                <w:b/>
                <w:color w:val="000000"/>
                <w:kern w:val="0"/>
                <w:sz w:val="21"/>
                <w:szCs w:val="22"/>
                <w:lang w:val="en-US" w:eastAsia="en-US" w:bidi="ar-SA"/>
              </w:rPr>
              <w:t>主要用途</w:t>
            </w:r>
          </w:p>
        </w:tc>
        <w:tc>
          <w:tcPr>
            <w:tcW w:w="223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后续需协商确认</w:t>
            </w:r>
          </w:p>
        </w:tc>
      </w:tr>
      <w:tr>
        <w:trPr>
          <w:cantSplit w:val="true"/>
        </w:trPr>
        <w:tc>
          <w:tcPr>
            <w:tcW w:w="223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课题</w:t>
            </w:r>
            <w:r>
              <w:rPr>
                <w:rFonts w:eastAsia="仿宋" w:cs="Times New Roman"/>
                <w:b w:val="false"/>
                <w:color w:val="000000"/>
                <w:kern w:val="0"/>
                <w:sz w:val="21"/>
                <w:szCs w:val="22"/>
                <w:lang w:val="en-US" w:eastAsia="en-US" w:bidi="ar-SA"/>
              </w:rPr>
              <w:t>1</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新型负荷特征数据、原型</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典型曲线、分类型预测模型及预测结果。</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用于新型负荷数据接入、负荷结构分析、分类型预测及区域综合预测的基础输入。</w:t>
            </w:r>
          </w:p>
        </w:tc>
        <w:tc>
          <w:tcPr>
            <w:tcW w:w="223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结合课题</w:t>
            </w:r>
            <w:r>
              <w:rPr>
                <w:rFonts w:eastAsia="仿宋" w:cs="Times New Roman"/>
                <w:b w:val="false"/>
                <w:color w:val="000000"/>
                <w:kern w:val="0"/>
                <w:sz w:val="21"/>
                <w:szCs w:val="22"/>
                <w:lang w:val="en-US" w:eastAsia="en-US" w:bidi="ar-SA"/>
              </w:rPr>
              <w:t>1</w:t>
            </w:r>
            <w:r>
              <w:rPr>
                <w:rFonts w:ascii="Times New Roman" w:hAnsi="Times New Roman" w:cs="Times New Roman"/>
                <w:b w:val="false"/>
                <w:color w:val="000000"/>
                <w:kern w:val="0"/>
                <w:sz w:val="21"/>
                <w:szCs w:val="22"/>
                <w:lang w:val="en-US" w:eastAsia="en-US" w:bidi="ar-SA"/>
              </w:rPr>
              <w:t>阶段成果进一步明确数据口径、模型输入输出、预测结果格式及版本管理方式。</w:t>
            </w:r>
          </w:p>
        </w:tc>
      </w:tr>
      <w:tr>
        <w:trPr>
          <w:cantSplit w:val="true"/>
        </w:trPr>
        <w:tc>
          <w:tcPr>
            <w:tcW w:w="223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课题</w:t>
            </w:r>
            <w:r>
              <w:rPr>
                <w:rFonts w:eastAsia="仿宋" w:cs="Times New Roman"/>
                <w:b w:val="false"/>
                <w:color w:val="000000"/>
                <w:kern w:val="0"/>
                <w:sz w:val="21"/>
                <w:szCs w:val="22"/>
                <w:lang w:val="en-US" w:eastAsia="en-US" w:bidi="ar-SA"/>
              </w:rPr>
              <w:t>2</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负荷特性指标、典型场景、标准负荷曲线及负荷影响分析成果。</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用于负荷特性分析、场景匹配、标准曲线调用以及预测结果的特性解释和合理性校核。</w:t>
            </w:r>
          </w:p>
        </w:tc>
        <w:tc>
          <w:tcPr>
            <w:tcW w:w="223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与课题</w:t>
            </w:r>
            <w:r>
              <w:rPr>
                <w:rFonts w:eastAsia="仿宋" w:cs="Times New Roman"/>
                <w:b w:val="false"/>
                <w:color w:val="000000"/>
                <w:kern w:val="0"/>
                <w:sz w:val="21"/>
                <w:szCs w:val="22"/>
                <w:lang w:val="en-US" w:eastAsia="en-US" w:bidi="ar-SA"/>
              </w:rPr>
              <w:t>2</w:t>
            </w:r>
            <w:r>
              <w:rPr>
                <w:rFonts w:ascii="Times New Roman" w:hAnsi="Times New Roman" w:cs="Times New Roman"/>
                <w:b w:val="false"/>
                <w:color w:val="000000"/>
                <w:kern w:val="0"/>
                <w:sz w:val="21"/>
                <w:szCs w:val="22"/>
                <w:lang w:val="en-US" w:eastAsia="en-US" w:bidi="ar-SA"/>
              </w:rPr>
              <w:t>承担单位共同确认指标口径、场景分类、标准曲线形式、适用条件及成果调用方式。</w:t>
            </w:r>
          </w:p>
        </w:tc>
      </w:tr>
      <w:tr>
        <w:trPr>
          <w:cantSplit w:val="true"/>
        </w:trPr>
        <w:tc>
          <w:tcPr>
            <w:tcW w:w="223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课题</w:t>
            </w:r>
            <w:r>
              <w:rPr>
                <w:rFonts w:eastAsia="仿宋" w:cs="Times New Roman"/>
                <w:b w:val="false"/>
                <w:color w:val="000000"/>
                <w:kern w:val="0"/>
                <w:sz w:val="21"/>
                <w:szCs w:val="22"/>
                <w:lang w:val="en-US" w:eastAsia="en-US" w:bidi="ar-SA"/>
              </w:rPr>
              <w:t>3</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不确定性因素、基准</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低碳</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强碳约束三类情景参数、多情景预测成果及动态修正方法。</w:t>
            </w:r>
          </w:p>
        </w:tc>
        <w:tc>
          <w:tcPr>
            <w:tcW w:w="223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用于情景配置、中长期综合预测、情景对比、预测区间展示和结果动态更新。</w:t>
            </w:r>
          </w:p>
        </w:tc>
        <w:tc>
          <w:tcPr>
            <w:tcW w:w="223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与课题</w:t>
            </w:r>
            <w:r>
              <w:rPr>
                <w:rFonts w:eastAsia="仿宋" w:cs="Times New Roman"/>
                <w:b w:val="false"/>
                <w:color w:val="000000"/>
                <w:kern w:val="0"/>
                <w:sz w:val="21"/>
                <w:szCs w:val="22"/>
                <w:lang w:val="en-US" w:eastAsia="en-US" w:bidi="ar-SA"/>
              </w:rPr>
              <w:t>3</w:t>
            </w:r>
            <w:r>
              <w:rPr>
                <w:rFonts w:ascii="Times New Roman" w:hAnsi="Times New Roman" w:cs="Times New Roman"/>
                <w:b w:val="false"/>
                <w:color w:val="000000"/>
                <w:kern w:val="0"/>
                <w:sz w:val="21"/>
                <w:szCs w:val="22"/>
                <w:lang w:val="en-US" w:eastAsia="en-US" w:bidi="ar-SA"/>
              </w:rPr>
              <w:t>承担单位共同确认情景参数体系、预测成果形式、</w:t>
            </w: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年发展路径表达方式及动态更新机制。</w:t>
            </w:r>
          </w:p>
        </w:tc>
      </w:tr>
    </w:tbl>
    <w:p>
      <w:pPr>
        <w:pStyle w:val="Heading3"/>
        <w:ind w:hanging="0" w:start="0" w:end="0"/>
        <w:rPr/>
      </w:pPr>
      <w:r>
        <w:rPr>
          <w:rFonts w:ascii="Times New Roman" w:hAnsi="Times New Roman" w:cs="Times New Roman"/>
          <w:b/>
          <w:color w:val="000000"/>
          <w:sz w:val="24"/>
        </w:rPr>
        <w:t>后续接口细化机制</w:t>
      </w:r>
    </w:p>
    <w:p>
      <w:pPr>
        <w:pStyle w:val="Style5"/>
        <w:spacing w:lineRule="auto" w:line="360" w:before="0" w:after="0"/>
        <w:ind w:firstLine="480" w:start="0" w:end="0"/>
        <w:jc w:val="both"/>
        <w:rPr/>
      </w:pPr>
      <w:r>
        <w:rPr>
          <w:rFonts w:ascii="Times New Roman" w:hAnsi="Times New Roman" w:cs="Times New Roman"/>
          <w:b w:val="false"/>
          <w:color w:val="000000"/>
          <w:sz w:val="24"/>
        </w:rPr>
        <w:t>前序课题成果接口采用“先明确需求边界、再共同确认样例、最后固化接口”的滚动细化方式推进。随着课题</w:t>
      </w:r>
      <w:r>
        <w:rPr>
          <w:rFonts w:eastAsia="仿宋" w:cs="Times New Roman"/>
          <w:b w:val="false"/>
          <w:color w:val="000000"/>
          <w:sz w:val="24"/>
        </w:rPr>
        <w:t>1—3</w:t>
      </w:r>
      <w:r>
        <w:rPr>
          <w:rFonts w:ascii="Times New Roman" w:hAnsi="Times New Roman" w:cs="Times New Roman"/>
          <w:b w:val="false"/>
          <w:color w:val="000000"/>
          <w:sz w:val="24"/>
        </w:rPr>
        <w:t>阶段成果逐步形成，课题</w:t>
      </w:r>
      <w:r>
        <w:rPr>
          <w:rFonts w:eastAsia="仿宋" w:cs="Times New Roman"/>
          <w:b w:val="false"/>
          <w:color w:val="000000"/>
          <w:sz w:val="24"/>
        </w:rPr>
        <w:t>4</w:t>
      </w:r>
      <w:r>
        <w:rPr>
          <w:rFonts w:ascii="Times New Roman" w:hAnsi="Times New Roman" w:cs="Times New Roman"/>
          <w:b w:val="false"/>
          <w:color w:val="000000"/>
          <w:sz w:val="24"/>
        </w:rPr>
        <w:t>根据模块研发和典型区域验证需要，与相关承担单位共同补充数据、模型和结果的具体接口要求。</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需求明确：由课题</w:t>
      </w:r>
      <w:r>
        <w:rPr>
          <w:rFonts w:eastAsia="仿宋" w:cs="Times New Roman"/>
          <w:b w:val="false"/>
          <w:color w:val="000000"/>
          <w:sz w:val="24"/>
        </w:rPr>
        <w:t>4</w:t>
      </w:r>
      <w:r>
        <w:rPr>
          <w:rFonts w:ascii="Times New Roman" w:hAnsi="Times New Roman" w:cs="Times New Roman"/>
          <w:b w:val="false"/>
          <w:color w:val="000000"/>
          <w:sz w:val="24"/>
        </w:rPr>
        <w:t>提出需要承接的成果类型、主要用途和最低应用需求。</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联合确认：通过跨课题专题会议确认成果边界、统计口径、时间空间粒度及适用条件。</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样例校核：在正式集成前提供必要的样例数据、样例结果或模型调用样例，验证成果能够满足课题</w:t>
      </w:r>
      <w:r>
        <w:rPr>
          <w:rFonts w:eastAsia="仿宋" w:cs="Times New Roman"/>
          <w:b w:val="false"/>
          <w:color w:val="000000"/>
          <w:sz w:val="24"/>
        </w:rPr>
        <w:t>4</w:t>
      </w:r>
      <w:r>
        <w:rPr>
          <w:rFonts w:ascii="Times New Roman" w:hAnsi="Times New Roman" w:cs="Times New Roman"/>
          <w:b w:val="false"/>
          <w:color w:val="000000"/>
          <w:sz w:val="24"/>
        </w:rPr>
        <w:t>应用需要。</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接口固化：在成果形式稳定后，再形成正式数据模板、模型输入输出说明和结果结构，并纳入后续集成与验证。</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1</w:t>
      </w:r>
      <w:r>
        <w:rPr>
          <w:rFonts w:ascii="Times New Roman" w:hAnsi="Times New Roman" w:cs="Times New Roman"/>
          <w:b w:val="false"/>
          <w:color w:val="000000"/>
          <w:sz w:val="24"/>
        </w:rPr>
        <w:t>当前已有较明确的数据挖掘、特征体系和分类型预测方案，可结合内部研究进度先行细化；课题</w:t>
      </w:r>
      <w:r>
        <w:rPr>
          <w:rFonts w:eastAsia="仿宋" w:cs="Times New Roman"/>
          <w:b w:val="false"/>
          <w:color w:val="000000"/>
          <w:sz w:val="24"/>
        </w:rPr>
        <w:t>2</w:t>
      </w:r>
      <w:r>
        <w:rPr>
          <w:rFonts w:ascii="Times New Roman" w:hAnsi="Times New Roman" w:cs="Times New Roman"/>
          <w:b w:val="false"/>
          <w:color w:val="000000"/>
          <w:sz w:val="24"/>
        </w:rPr>
        <w:t>和课题</w:t>
      </w:r>
      <w:r>
        <w:rPr>
          <w:rFonts w:eastAsia="仿宋" w:cs="Times New Roman"/>
          <w:b w:val="false"/>
          <w:color w:val="000000"/>
          <w:sz w:val="24"/>
        </w:rPr>
        <w:t>3</w:t>
      </w:r>
      <w:r>
        <w:rPr>
          <w:rFonts w:ascii="Times New Roman" w:hAnsi="Times New Roman" w:cs="Times New Roman"/>
          <w:b w:val="false"/>
          <w:color w:val="000000"/>
          <w:sz w:val="24"/>
        </w:rPr>
        <w:t>的具体成果接口以相关承担单位后续确认结果为准。接口内容发生调整时，以版本方式记录变化，确保课题</w:t>
      </w:r>
      <w:r>
        <w:rPr>
          <w:rFonts w:eastAsia="仿宋" w:cs="Times New Roman"/>
          <w:b w:val="false"/>
          <w:color w:val="000000"/>
          <w:sz w:val="24"/>
        </w:rPr>
        <w:t>4</w:t>
      </w:r>
      <w:r>
        <w:rPr>
          <w:rFonts w:ascii="Times New Roman" w:hAnsi="Times New Roman" w:cs="Times New Roman"/>
          <w:b w:val="false"/>
          <w:color w:val="000000"/>
          <w:sz w:val="24"/>
        </w:rPr>
        <w:t>模块实现与前序研究成果保持一致。</w:t>
      </w:r>
    </w:p>
    <w:p>
      <w:pPr>
        <w:pStyle w:val="Heading2"/>
        <w:keepNext w:val="true"/>
        <w:spacing w:before="120" w:after="100"/>
        <w:ind w:hanging="0" w:start="0" w:end="0"/>
        <w:rPr/>
      </w:pPr>
      <w:bookmarkStart w:id="13" w:name="__RefHeading___Toc3936_1443650120"/>
      <w:bookmarkEnd w:id="13"/>
      <w:r>
        <w:rPr>
          <w:rFonts w:ascii="Times New Roman" w:hAnsi="Times New Roman" w:cs="Times New Roman"/>
          <w:b/>
          <w:color w:val="000000"/>
          <w:sz w:val="28"/>
        </w:rPr>
        <w:t>业务处理流程</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软件业务处理以规划分析项目为组织单元，按照“项目与数据准备—负荷特性分析—情景与预测配置—中长期负荷预测—典型区域验证与滚动修正—规划应用与成果输出”六个阶段组织。前四个阶段主要形成任务</w:t>
      </w:r>
      <w:r>
        <w:rPr>
          <w:rFonts w:eastAsia="仿宋" w:cs="Times New Roman"/>
          <w:b w:val="false"/>
          <w:color w:val="000000"/>
          <w:sz w:val="24"/>
        </w:rPr>
        <w:t>1</w:t>
      </w:r>
      <w:r>
        <w:rPr>
          <w:rFonts w:ascii="Times New Roman" w:hAnsi="Times New Roman" w:cs="Times New Roman"/>
          <w:b w:val="false"/>
          <w:color w:val="000000"/>
          <w:sz w:val="24"/>
        </w:rPr>
        <w:t>的模块研发与预测能力，任务</w:t>
      </w:r>
      <w:r>
        <w:rPr>
          <w:rFonts w:eastAsia="仿宋" w:cs="Times New Roman"/>
          <w:b w:val="false"/>
          <w:color w:val="000000"/>
          <w:sz w:val="24"/>
        </w:rPr>
        <w:t>2</w:t>
      </w:r>
      <w:r>
        <w:rPr>
          <w:rFonts w:ascii="Times New Roman" w:hAnsi="Times New Roman" w:cs="Times New Roman"/>
          <w:b w:val="false"/>
          <w:color w:val="000000"/>
          <w:sz w:val="24"/>
        </w:rPr>
        <w:t>承接预测结果开展典型区域验证和参数校准，任务</w:t>
      </w:r>
      <w:r>
        <w:rPr>
          <w:rFonts w:eastAsia="仿宋" w:cs="Times New Roman"/>
          <w:b w:val="false"/>
          <w:color w:val="000000"/>
          <w:sz w:val="24"/>
        </w:rPr>
        <w:t>3</w:t>
      </w:r>
      <w:r>
        <w:rPr>
          <w:rFonts w:ascii="Times New Roman" w:hAnsi="Times New Roman" w:cs="Times New Roman"/>
          <w:b w:val="false"/>
          <w:color w:val="000000"/>
          <w:sz w:val="24"/>
        </w:rPr>
        <w:t>进一步利用经验证的预测成果开展源荷时序匹配和规划方案分析。</w:t>
      </w:r>
    </w:p>
    <w:p>
      <w:pPr>
        <w:pStyle w:val="Normal"/>
        <w:ind w:hanging="0"/>
        <w:jc w:val="center"/>
        <w:rPr/>
      </w:pPr>
      <w:r>
        <w:rPr/>
        <w:drawing>
          <wp:inline distT="0" distB="0" distL="0" distR="0">
            <wp:extent cx="5400040" cy="2736215"/>
            <wp:effectExtent l="0" t="0" r="0" b="0"/>
            <wp:docPr id="3"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 title=""/>
                    <pic:cNvPicPr>
                      <a:picLocks noChangeAspect="1" noChangeArrowheads="1"/>
                    </pic:cNvPicPr>
                  </pic:nvPicPr>
                  <pic:blipFill>
                    <a:blip r:embed="rId4"/>
                    <a:stretch>
                      <a:fillRect/>
                    </a:stretch>
                  </pic:blipFill>
                  <pic:spPr bwMode="auto">
                    <a:xfrm>
                      <a:off x="0" y="0"/>
                      <a:ext cx="5400040" cy="2736215"/>
                    </a:xfrm>
                    <a:prstGeom prst="rect">
                      <a:avLst/>
                    </a:prstGeom>
                    <a:noFill/>
                  </pic:spPr>
                </pic:pic>
              </a:graphicData>
            </a:graphic>
          </wp:inline>
        </w:drawing>
      </w:r>
    </w:p>
    <w:p>
      <w:pPr>
        <w:pStyle w:val="Caption"/>
        <w:spacing w:before="80" w:after="12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3-2 </w:t>
      </w:r>
      <w:r>
        <w:rPr>
          <w:rFonts w:ascii="Times New Roman" w:hAnsi="Times New Roman" w:cs="Times New Roman"/>
          <w:b w:val="false"/>
          <w:color w:val="000000"/>
          <w:sz w:val="21"/>
        </w:rPr>
        <w:t>课题</w:t>
      </w:r>
      <w:r>
        <w:rPr>
          <w:rFonts w:eastAsia="黑体" w:cs="Times New Roman"/>
          <w:b w:val="false"/>
          <w:color w:val="000000"/>
          <w:sz w:val="21"/>
        </w:rPr>
        <w:t>4</w:t>
      </w:r>
      <w:r>
        <w:rPr>
          <w:rFonts w:ascii="Times New Roman" w:hAnsi="Times New Roman" w:cs="Times New Roman"/>
          <w:b w:val="false"/>
          <w:color w:val="000000"/>
          <w:sz w:val="21"/>
        </w:rPr>
        <w:t>总体业务处理流程</w:t>
      </w:r>
    </w:p>
    <w:p>
      <w:pPr>
        <w:pStyle w:val="Style5"/>
        <w:spacing w:lineRule="auto" w:line="360" w:before="0" w:after="0"/>
        <w:ind w:firstLine="480" w:start="0" w:end="0"/>
        <w:jc w:val="both"/>
        <w:rPr/>
      </w:pPr>
      <w:r>
        <w:rPr>
          <w:rFonts w:ascii="Times New Roman" w:hAnsi="Times New Roman" w:cs="Times New Roman"/>
          <w:b w:val="false"/>
          <w:color w:val="000000"/>
          <w:sz w:val="24"/>
        </w:rPr>
        <w:t>业务流程中设置两类闭环机制：一是当新增历史数据、情景参数或模型版本发生变化时，触发重新预测并形成新的结果版本；二是将典型区域验证和规划应用中发现的数据适配、参数边界、模型接口及结果展示问题反馈至前序研究和模块配置环节，实现持续优化。</w:t>
      </w:r>
    </w:p>
    <w:p>
      <w:pPr>
        <w:pStyle w:val="Caption"/>
        <w:spacing w:before="80" w:after="120"/>
        <w:ind w:hanging="0"/>
        <w:jc w:val="center"/>
        <w:rPr/>
      </w:pPr>
      <w:r>
        <w:rPr>
          <w:rFonts w:ascii="Times New Roman" w:hAnsi="Times New Roman" w:cs="Times New Roman"/>
          <w:b w:val="false"/>
          <w:color w:val="000000"/>
          <w:sz w:val="21"/>
        </w:rPr>
        <w:t>表</w:t>
      </w:r>
      <w:r>
        <w:rPr>
          <w:rFonts w:eastAsia="黑体" w:cs="Times New Roman"/>
          <w:b w:val="false"/>
          <w:color w:val="000000"/>
          <w:sz w:val="21"/>
        </w:rPr>
        <w:t xml:space="preserve">3-2 </w:t>
      </w:r>
      <w:r>
        <w:rPr>
          <w:rFonts w:ascii="Times New Roman" w:hAnsi="Times New Roman" w:cs="Times New Roman"/>
          <w:b w:val="false"/>
          <w:color w:val="000000"/>
          <w:sz w:val="21"/>
        </w:rPr>
        <w:t>课题</w:t>
      </w:r>
      <w:r>
        <w:rPr>
          <w:rFonts w:eastAsia="黑体" w:cs="Times New Roman"/>
          <w:b w:val="false"/>
          <w:color w:val="000000"/>
          <w:sz w:val="21"/>
        </w:rPr>
        <w:t>4</w:t>
      </w:r>
      <w:r>
        <w:rPr>
          <w:rFonts w:ascii="Times New Roman" w:hAnsi="Times New Roman" w:cs="Times New Roman"/>
          <w:b w:val="false"/>
          <w:color w:val="000000"/>
          <w:sz w:val="21"/>
        </w:rPr>
        <w:t>总体业务处理阶段及输入输出关系</w:t>
      </w:r>
    </w:p>
    <w:tbl>
      <w:tblPr>
        <w:tblStyle w:val="TableGrid"/>
        <w:tblW w:w="8845"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1769"/>
        <w:gridCol w:w="1769"/>
        <w:gridCol w:w="1769"/>
        <w:gridCol w:w="1769"/>
        <w:gridCol w:w="1769"/>
      </w:tblGrid>
      <w:tr>
        <w:trPr>
          <w:tblHeader w:val="true"/>
          <w:cantSplit w:val="true"/>
        </w:trPr>
        <w:tc>
          <w:tcPr>
            <w:tcW w:w="1769"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阶段</w:t>
            </w:r>
          </w:p>
        </w:tc>
        <w:tc>
          <w:tcPr>
            <w:tcW w:w="1769"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核心工作</w:t>
            </w:r>
          </w:p>
        </w:tc>
        <w:tc>
          <w:tcPr>
            <w:tcW w:w="1769"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主要输入</w:t>
            </w:r>
          </w:p>
        </w:tc>
        <w:tc>
          <w:tcPr>
            <w:tcW w:w="1769"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主要输出</w:t>
            </w:r>
          </w:p>
        </w:tc>
        <w:tc>
          <w:tcPr>
            <w:tcW w:w="1769"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对应任务</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 xml:space="preserve">1 </w:t>
            </w:r>
            <w:r>
              <w:rPr>
                <w:rFonts w:ascii="Times New Roman" w:hAnsi="Times New Roman" w:cs="Times New Roman"/>
                <w:b w:val="false"/>
                <w:color w:val="000000"/>
                <w:kern w:val="0"/>
                <w:sz w:val="21"/>
                <w:szCs w:val="22"/>
                <w:lang w:val="en-US" w:eastAsia="en-US" w:bidi="ar-SA"/>
              </w:rPr>
              <w:t>项目与数据准备</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建立分析项目，导入区域基础数据、历史负荷、新型负荷及驱动因素并完成质量检查。</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区域基础资料、历史负荷、新型负荷及驱动因素</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可用于分析的数据集、数据质量检查结果及数据版本</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1</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 xml:space="preserve">2 </w:t>
            </w:r>
            <w:r>
              <w:rPr>
                <w:rFonts w:ascii="Times New Roman" w:hAnsi="Times New Roman" w:cs="Times New Roman"/>
                <w:b w:val="false"/>
                <w:color w:val="000000"/>
                <w:kern w:val="0"/>
                <w:sz w:val="21"/>
                <w:szCs w:val="22"/>
                <w:lang w:val="en-US" w:eastAsia="en-US" w:bidi="ar-SA"/>
              </w:rPr>
              <w:t>负荷特性分析</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分析历史负荷规模、结构、典型曲线及关键特性指标。</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经检查的数据、前序课题指标与曲线成果</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区域负荷现状、结构特征及特性分析结果</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1</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 xml:space="preserve">3 </w:t>
            </w:r>
            <w:r>
              <w:rPr>
                <w:rFonts w:ascii="Times New Roman" w:hAnsi="Times New Roman" w:cs="Times New Roman"/>
                <w:b w:val="false"/>
                <w:color w:val="000000"/>
                <w:kern w:val="0"/>
                <w:sz w:val="21"/>
                <w:szCs w:val="22"/>
                <w:lang w:val="en-US" w:eastAsia="en-US" w:bidi="ar-SA"/>
              </w:rPr>
              <w:t>情景与预测配置</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确定预测周期、预测情景、数据版本及拟调用的模型和曲线资源。</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情景参数、模型资源、曲线资源及项目配置</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本次预测任务配置及版本组合</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1</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 xml:space="preserve">4 </w:t>
            </w:r>
            <w:r>
              <w:rPr>
                <w:rFonts w:ascii="Times New Roman" w:hAnsi="Times New Roman" w:cs="Times New Roman"/>
                <w:b w:val="false"/>
                <w:color w:val="000000"/>
                <w:kern w:val="0"/>
                <w:sz w:val="21"/>
                <w:szCs w:val="22"/>
                <w:lang w:val="en-US" w:eastAsia="en-US" w:bidi="ar-SA"/>
              </w:rPr>
              <w:t>中长期负荷预测</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调用相关模型资源，形成多情景中长期负荷预测结果并完成基础合理性校核。</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输入数据、情景参数、前序模型及曲线成果</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年负荷规模、结构、典型曲线、预测区间及结果版本</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1</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 xml:space="preserve">5 </w:t>
            </w:r>
            <w:r>
              <w:rPr>
                <w:rFonts w:ascii="Times New Roman" w:hAnsi="Times New Roman" w:cs="Times New Roman"/>
                <w:b w:val="false"/>
                <w:color w:val="000000"/>
                <w:kern w:val="0"/>
                <w:sz w:val="21"/>
                <w:szCs w:val="22"/>
                <w:lang w:val="en-US" w:eastAsia="en-US" w:bidi="ar-SA"/>
              </w:rPr>
              <w:t>典型区域验证与滚动修正</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结合典型区域实际数据、规划资料和历史规律开展结果验证、参数校准与版本更新。</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预测结果、典型区域实际数据及相关规划资料</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验证结果、校准结果、模块优化建议及更新后的预测版本</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2</w:t>
            </w:r>
          </w:p>
        </w:tc>
      </w:tr>
      <w:tr>
        <w:trPr>
          <w:cantSplit w:val="true"/>
        </w:trPr>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 xml:space="preserve">6 </w:t>
            </w:r>
            <w:r>
              <w:rPr>
                <w:rFonts w:ascii="Times New Roman" w:hAnsi="Times New Roman" w:cs="Times New Roman"/>
                <w:b w:val="false"/>
                <w:color w:val="000000"/>
                <w:kern w:val="0"/>
                <w:sz w:val="21"/>
                <w:szCs w:val="22"/>
                <w:lang w:val="en-US" w:eastAsia="en-US" w:bidi="ar-SA"/>
              </w:rPr>
              <w:t>规划应用与成果输出</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利用经验证的预测结果开展源荷时序匹配、规划方案比较及成果输出。</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经验证的预测结果、电源规划及典型出力数据</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源荷匹配结果、方案对比结果、分析报告及规划优化方向</w:t>
            </w:r>
          </w:p>
        </w:tc>
        <w:tc>
          <w:tcPr>
            <w:tcW w:w="1769"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任务</w:t>
            </w:r>
            <w:r>
              <w:rPr>
                <w:rFonts w:eastAsia="仿宋" w:cs="Times New Roman"/>
                <w:b w:val="false"/>
                <w:color w:val="000000"/>
                <w:kern w:val="0"/>
                <w:sz w:val="21"/>
                <w:szCs w:val="22"/>
                <w:lang w:val="en-US" w:eastAsia="en-US" w:bidi="ar-SA"/>
              </w:rPr>
              <w:t>3</w:t>
            </w:r>
          </w:p>
        </w:tc>
      </w:tr>
    </w:tbl>
    <w:p>
      <w:pPr>
        <w:pStyle w:val="Style5"/>
        <w:spacing w:lineRule="auto" w:line="360" w:before="0" w:after="0"/>
        <w:ind w:firstLine="480" w:start="0" w:end="0"/>
        <w:jc w:val="both"/>
        <w:rPr/>
      </w:pPr>
      <w:r>
        <w:rPr>
          <w:rFonts w:ascii="Times New Roman" w:hAnsi="Times New Roman" w:cs="Times New Roman"/>
          <w:b w:val="false"/>
          <w:color w:val="000000"/>
          <w:sz w:val="24"/>
        </w:rPr>
        <w:t>通过上述六阶段流程，课题</w:t>
      </w:r>
      <w:r>
        <w:rPr>
          <w:rFonts w:eastAsia="仿宋" w:cs="Times New Roman"/>
          <w:b w:val="false"/>
          <w:color w:val="000000"/>
          <w:sz w:val="24"/>
        </w:rPr>
        <w:t>4</w:t>
      </w:r>
      <w:r>
        <w:rPr>
          <w:rFonts w:ascii="Times New Roman" w:hAnsi="Times New Roman" w:cs="Times New Roman"/>
          <w:b w:val="false"/>
          <w:color w:val="000000"/>
          <w:sz w:val="24"/>
        </w:rPr>
        <w:t>将前序课题研究成果转化为可在软件中组织、调用、验证和应用的业务闭环，同时保持任务</w:t>
      </w:r>
      <w:r>
        <w:rPr>
          <w:rFonts w:eastAsia="仿宋" w:cs="Times New Roman"/>
          <w:b w:val="false"/>
          <w:color w:val="000000"/>
          <w:sz w:val="24"/>
        </w:rPr>
        <w:t>1</w:t>
      </w:r>
      <w:r>
        <w:rPr>
          <w:rFonts w:ascii="Times New Roman" w:hAnsi="Times New Roman" w:cs="Times New Roman"/>
          <w:b w:val="false"/>
          <w:color w:val="000000"/>
          <w:sz w:val="24"/>
        </w:rPr>
        <w:t>、任务</w:t>
      </w:r>
      <w:r>
        <w:rPr>
          <w:rFonts w:eastAsia="仿宋" w:cs="Times New Roman"/>
          <w:b w:val="false"/>
          <w:color w:val="000000"/>
          <w:sz w:val="24"/>
        </w:rPr>
        <w:t>2</w:t>
      </w:r>
      <w:r>
        <w:rPr>
          <w:rFonts w:ascii="Times New Roman" w:hAnsi="Times New Roman" w:cs="Times New Roman"/>
          <w:b w:val="false"/>
          <w:color w:val="000000"/>
          <w:sz w:val="24"/>
        </w:rPr>
        <w:t>和任务</w:t>
      </w:r>
      <w:r>
        <w:rPr>
          <w:rFonts w:eastAsia="仿宋" w:cs="Times New Roman"/>
          <w:b w:val="false"/>
          <w:color w:val="000000"/>
          <w:sz w:val="24"/>
        </w:rPr>
        <w:t>3</w:t>
      </w:r>
      <w:r>
        <w:rPr>
          <w:rFonts w:ascii="Times New Roman" w:hAnsi="Times New Roman" w:cs="Times New Roman"/>
          <w:b w:val="false"/>
          <w:color w:val="000000"/>
          <w:sz w:val="24"/>
        </w:rPr>
        <w:t>之间的研究边界清晰。</w:t>
      </w:r>
    </w:p>
    <w:p>
      <w:pPr>
        <w:pStyle w:val="Heading2"/>
        <w:keepNext w:val="true"/>
        <w:spacing w:before="120" w:after="100"/>
        <w:ind w:hanging="0" w:start="0" w:end="0"/>
        <w:rPr/>
      </w:pPr>
      <w:bookmarkStart w:id="14" w:name="__RefHeading___Toc3938_1443650120"/>
      <w:bookmarkEnd w:id="14"/>
      <w:r>
        <w:rPr>
          <w:rFonts w:ascii="Times New Roman" w:hAnsi="Times New Roman" w:cs="Times New Roman"/>
          <w:b/>
          <w:color w:val="000000"/>
          <w:sz w:val="28"/>
        </w:rPr>
        <w:t>数据、模型与结果流转</w:t>
      </w:r>
    </w:p>
    <w:p>
      <w:pPr>
        <w:pStyle w:val="Normal"/>
        <w:ind w:hanging="0"/>
        <w:jc w:val="center"/>
        <w:rPr/>
      </w:pPr>
      <w:r>
        <w:rPr/>
        <w:drawing>
          <wp:inline distT="0" distB="0" distL="0" distR="0">
            <wp:extent cx="5328285" cy="2374265"/>
            <wp:effectExtent l="0" t="0" r="0" b="0"/>
            <wp:docPr id="4"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 title=""/>
                    <pic:cNvPicPr>
                      <a:picLocks noChangeAspect="1" noChangeArrowheads="1"/>
                    </pic:cNvPicPr>
                  </pic:nvPicPr>
                  <pic:blipFill>
                    <a:blip r:embed="rId5"/>
                    <a:stretch>
                      <a:fillRect/>
                    </a:stretch>
                  </pic:blipFill>
                  <pic:spPr bwMode="auto">
                    <a:xfrm>
                      <a:off x="0" y="0"/>
                      <a:ext cx="5328285" cy="2374265"/>
                    </a:xfrm>
                    <a:prstGeom prst="rect">
                      <a:avLst/>
                    </a:prstGeom>
                    <a:noFill/>
                  </pic:spPr>
                </pic:pic>
              </a:graphicData>
            </a:graphic>
          </wp:inline>
        </w:drawing>
      </w:r>
    </w:p>
    <w:p>
      <w:pPr>
        <w:pStyle w:val="Caption"/>
        <w:keepNext w:val="true"/>
        <w:spacing w:lineRule="auto" w:line="360" w:before="80" w:after="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3-3 </w:t>
      </w:r>
      <w:r>
        <w:rPr>
          <w:rFonts w:ascii="Times New Roman" w:hAnsi="Times New Roman" w:cs="Times New Roman"/>
          <w:b w:val="false"/>
          <w:color w:val="000000"/>
          <w:sz w:val="21"/>
        </w:rPr>
        <w:t>数据、模型与结果流转关系</w:t>
      </w:r>
    </w:p>
    <w:p>
      <w:pPr>
        <w:pStyle w:val="Style5"/>
        <w:spacing w:lineRule="auto" w:line="360" w:before="0" w:after="0"/>
        <w:ind w:firstLine="480" w:start="0" w:end="0"/>
        <w:jc w:val="both"/>
        <w:rPr/>
      </w:pPr>
      <w:r>
        <w:rPr>
          <w:rFonts w:ascii="Times New Roman" w:hAnsi="Times New Roman" w:cs="Times New Roman"/>
          <w:b w:val="false"/>
          <w:color w:val="000000"/>
          <w:sz w:val="24"/>
        </w:rPr>
        <w:t>输入数据经过模板化导入和检查后，由模块调用特征、场景、曲线和模型资源完成负荷分析与预测。模型输出统一转换为标准结果表，形成负荷规模、结构、典型日曲线、预测区间和版本信息。规划评估环节进一步将预测负荷与电源方案进行逐时段比较，形成匹配指标和方案对比结果。</w:t>
      </w:r>
    </w:p>
    <w:p>
      <w:pPr>
        <w:pStyle w:val="Heading1"/>
        <w:keepNext w:val="true"/>
        <w:spacing w:before="200" w:after="100"/>
        <w:ind w:hanging="0" w:start="0" w:end="0"/>
        <w:rPr/>
      </w:pPr>
      <w:bookmarkStart w:id="15" w:name="__RefHeading___Toc3940_1443650120"/>
      <w:bookmarkEnd w:id="15"/>
      <w:r>
        <w:rPr>
          <w:rFonts w:ascii="Times New Roman" w:hAnsi="Times New Roman" w:cs="Times New Roman"/>
          <w:b/>
          <w:color w:val="000000"/>
          <w:sz w:val="32"/>
        </w:rPr>
        <w:t>任务</w:t>
      </w:r>
      <w:r>
        <w:rPr>
          <w:rFonts w:eastAsia="黑体" w:cs="Times New Roman"/>
          <w:b/>
          <w:color w:val="000000"/>
          <w:sz w:val="32"/>
        </w:rPr>
        <w:t>1</w:t>
      </w:r>
      <w:r>
        <w:rPr>
          <w:rFonts w:ascii="Times New Roman" w:hAnsi="Times New Roman" w:cs="Times New Roman"/>
          <w:b/>
          <w:color w:val="000000"/>
          <w:sz w:val="32"/>
        </w:rPr>
        <w:t>：融合多源数据与不确定性分析的中长期负荷预测模块研发</w:t>
      </w:r>
    </w:p>
    <w:p>
      <w:pPr>
        <w:pStyle w:val="Heading2"/>
        <w:keepNext w:val="true"/>
        <w:spacing w:before="120" w:after="100"/>
        <w:ind w:hanging="0" w:start="0" w:end="0"/>
        <w:rPr/>
      </w:pPr>
      <w:bookmarkStart w:id="16" w:name="__RefHeading___Toc3942_1443650120"/>
      <w:bookmarkEnd w:id="16"/>
      <w:r>
        <w:rPr>
          <w:rFonts w:ascii="Times New Roman" w:hAnsi="Times New Roman" w:cs="Times New Roman"/>
          <w:b/>
          <w:color w:val="000000"/>
          <w:sz w:val="28"/>
        </w:rPr>
        <w:t>任务目标</w:t>
      </w:r>
    </w:p>
    <w:p>
      <w:pPr>
        <w:pStyle w:val="Style5"/>
        <w:spacing w:lineRule="auto" w:line="360" w:before="0" w:after="0"/>
        <w:ind w:firstLine="480" w:start="0" w:end="0"/>
        <w:jc w:val="both"/>
        <w:rPr/>
      </w:pPr>
      <w:r>
        <w:rPr>
          <w:rFonts w:ascii="Times New Roman" w:hAnsi="Times New Roman" w:cs="Times New Roman"/>
          <w:b w:val="false"/>
          <w:color w:val="000000"/>
          <w:sz w:val="24"/>
        </w:rPr>
        <w:t>集成项目相关数据、负荷特性分析成果、标准曲线和多情景预测模型，研发一套</w:t>
      </w:r>
      <w:r>
        <w:rPr>
          <w:rFonts w:eastAsia="仿宋" w:cs="Times New Roman"/>
          <w:b w:val="false"/>
          <w:color w:val="000000"/>
          <w:sz w:val="24"/>
        </w:rPr>
        <w:t>Windows</w:t>
      </w:r>
      <w:r>
        <w:rPr>
          <w:rFonts w:ascii="Times New Roman" w:hAnsi="Times New Roman" w:cs="Times New Roman"/>
          <w:b w:val="false"/>
          <w:color w:val="000000"/>
          <w:sz w:val="24"/>
        </w:rPr>
        <w:t>单机离线便携式中长期负荷预测模块。模块以规划分析项目为对象，以</w:t>
      </w:r>
      <w:r>
        <w:rPr>
          <w:rFonts w:eastAsia="仿宋" w:cs="Times New Roman"/>
          <w:b w:val="false"/>
          <w:color w:val="000000"/>
          <w:sz w:val="24"/>
        </w:rPr>
        <w:t>Excel</w:t>
      </w:r>
      <w:r>
        <w:rPr>
          <w:rFonts w:ascii="Times New Roman" w:hAnsi="Times New Roman" w:cs="Times New Roman"/>
          <w:b w:val="false"/>
          <w:color w:val="000000"/>
          <w:sz w:val="24"/>
        </w:rPr>
        <w:t>标准模板为主要数据接入方式，以预置模型调用为核心计算方式，形成从数据准备到结果输出的完整业务闭环。软件通过免安装</w:t>
      </w:r>
      <w:r>
        <w:rPr>
          <w:rFonts w:eastAsia="仿宋" w:cs="Times New Roman"/>
          <w:b w:val="false"/>
          <w:color w:val="000000"/>
          <w:sz w:val="24"/>
        </w:rPr>
        <w:t>ZIP</w:t>
      </w:r>
      <w:r>
        <w:rPr>
          <w:rFonts w:ascii="Times New Roman" w:hAnsi="Times New Roman" w:cs="Times New Roman"/>
          <w:b w:val="false"/>
          <w:color w:val="000000"/>
          <w:sz w:val="24"/>
        </w:rPr>
        <w:t>交付，解压后即可在本机启动使用。</w:t>
      </w:r>
    </w:p>
    <w:p>
      <w:pPr>
        <w:pStyle w:val="Heading2"/>
        <w:keepNext w:val="true"/>
        <w:spacing w:before="120" w:after="100"/>
        <w:ind w:hanging="0" w:start="0" w:end="0"/>
        <w:rPr/>
      </w:pPr>
      <w:bookmarkStart w:id="17" w:name="__RefHeading___Toc3944_1443650120"/>
      <w:bookmarkEnd w:id="17"/>
      <w:r>
        <w:rPr>
          <w:rFonts w:ascii="Times New Roman" w:hAnsi="Times New Roman" w:cs="Times New Roman"/>
          <w:b/>
          <w:color w:val="000000"/>
          <w:sz w:val="28"/>
        </w:rPr>
        <w:t>功能架构</w:t>
      </w:r>
    </w:p>
    <w:p>
      <w:pPr>
        <w:pStyle w:val="Normal"/>
        <w:ind w:hanging="0"/>
        <w:jc w:val="center"/>
        <w:rPr/>
      </w:pPr>
      <w:r>
        <w:rPr/>
        <w:drawing>
          <wp:inline distT="0" distB="0" distL="0" distR="0">
            <wp:extent cx="5400040" cy="2294890"/>
            <wp:effectExtent l="0" t="0" r="0" b="0"/>
            <wp:docPr id="5"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 title=""/>
                    <pic:cNvPicPr>
                      <a:picLocks noChangeAspect="1" noChangeArrowheads="1"/>
                    </pic:cNvPicPr>
                  </pic:nvPicPr>
                  <pic:blipFill>
                    <a:blip r:embed="rId6"/>
                    <a:stretch>
                      <a:fillRect/>
                    </a:stretch>
                  </pic:blipFill>
                  <pic:spPr bwMode="auto">
                    <a:xfrm>
                      <a:off x="0" y="0"/>
                      <a:ext cx="5400040" cy="2294890"/>
                    </a:xfrm>
                    <a:prstGeom prst="rect">
                      <a:avLst/>
                    </a:prstGeom>
                    <a:noFill/>
                  </pic:spPr>
                </pic:pic>
              </a:graphicData>
            </a:graphic>
          </wp:inline>
        </w:drawing>
      </w:r>
    </w:p>
    <w:p>
      <w:pPr>
        <w:pStyle w:val="Caption"/>
        <w:keepNext w:val="true"/>
        <w:spacing w:lineRule="auto" w:line="360" w:before="80" w:after="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4-1 </w:t>
      </w:r>
      <w:r>
        <w:rPr>
          <w:rFonts w:ascii="Times New Roman" w:hAnsi="Times New Roman" w:cs="Times New Roman"/>
          <w:b w:val="false"/>
          <w:color w:val="000000"/>
          <w:sz w:val="21"/>
        </w:rPr>
        <w:t>中长期负荷预测模块功能架构</w:t>
      </w:r>
    </w:p>
    <w:p>
      <w:pPr>
        <w:pStyle w:val="Style5"/>
        <w:spacing w:lineRule="auto" w:line="360" w:before="0" w:after="0"/>
        <w:ind w:firstLine="480" w:start="0" w:end="0"/>
        <w:jc w:val="both"/>
        <w:rPr/>
      </w:pPr>
      <w:r>
        <w:rPr>
          <w:rFonts w:ascii="Times New Roman" w:hAnsi="Times New Roman" w:cs="Times New Roman"/>
          <w:b w:val="false"/>
          <w:color w:val="000000"/>
          <w:sz w:val="24"/>
        </w:rPr>
        <w:t>模块设置“项目与数据、负荷分析与预测、源荷匹配评估、结果与报告、系统配置”五个一级功能。功能设计突出核心研究成果的可调用和可展示，采用少量页面完成主要业务流程。</w:t>
      </w:r>
    </w:p>
    <w:p>
      <w:pPr>
        <w:pStyle w:val="Heading2"/>
        <w:keepNext w:val="true"/>
        <w:spacing w:before="120" w:after="100"/>
        <w:ind w:hanging="0" w:start="0" w:end="0"/>
        <w:rPr/>
      </w:pPr>
      <w:bookmarkStart w:id="18" w:name="__RefHeading___Toc3946_1443650120"/>
      <w:bookmarkEnd w:id="18"/>
      <w:r>
        <w:rPr>
          <w:rFonts w:ascii="Times New Roman" w:hAnsi="Times New Roman" w:cs="Times New Roman"/>
          <w:b/>
          <w:color w:val="000000"/>
          <w:sz w:val="28"/>
        </w:rPr>
        <w:t>项目与数据功能</w:t>
      </w:r>
    </w:p>
    <w:p>
      <w:pPr>
        <w:pStyle w:val="Heading3"/>
        <w:keepNext w:val="true"/>
        <w:spacing w:before="120" w:after="100"/>
        <w:ind w:hanging="0" w:start="0" w:end="0"/>
        <w:rPr/>
      </w:pPr>
      <w:r>
        <w:rPr>
          <w:rFonts w:ascii="Times New Roman" w:hAnsi="Times New Roman" w:cs="Times New Roman"/>
          <w:b/>
          <w:color w:val="000000"/>
          <w:sz w:val="24"/>
        </w:rPr>
        <w:t>项目管理</w:t>
      </w:r>
    </w:p>
    <w:p>
      <w:pPr>
        <w:pStyle w:val="Style5"/>
        <w:spacing w:lineRule="auto" w:line="360" w:before="0" w:after="0"/>
        <w:ind w:firstLine="480" w:start="0" w:end="0"/>
        <w:jc w:val="both"/>
        <w:rPr/>
      </w:pPr>
      <w:r>
        <w:rPr>
          <w:rFonts w:ascii="Times New Roman" w:hAnsi="Times New Roman" w:cs="Times New Roman"/>
          <w:b w:val="false"/>
          <w:color w:val="000000"/>
          <w:sz w:val="24"/>
        </w:rPr>
        <w:t>项目用于统一管理分析区域、基准年份、预测周期、输入数据、情景参数、模型版本和预测结果。项目管理应支持新建、编辑、复制、删除和历史项目打开。项目复制用于快速复用相近区域或相近情景的参数配置。</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字段</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说明</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示例</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项目名称</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本次分析任务的唯一名称。</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某工业园区</w:t>
            </w:r>
            <w:r>
              <w:rPr>
                <w:rFonts w:eastAsia="仿宋" w:cs="Times New Roman"/>
                <w:b w:val="false"/>
                <w:color w:val="000000"/>
                <w:kern w:val="0"/>
                <w:sz w:val="21"/>
                <w:szCs w:val="22"/>
                <w:lang w:val="en-US" w:eastAsia="en-US" w:bidi="ar-SA"/>
              </w:rPr>
              <w:t>2026—2035</w:t>
            </w:r>
            <w:r>
              <w:rPr>
                <w:rFonts w:ascii="Times New Roman" w:hAnsi="Times New Roman" w:cs="Times New Roman"/>
                <w:b w:val="false"/>
                <w:color w:val="000000"/>
                <w:kern w:val="0"/>
                <w:sz w:val="21"/>
                <w:szCs w:val="22"/>
                <w:lang w:val="en-US" w:eastAsia="en-US" w:bidi="ar-SA"/>
              </w:rPr>
              <w:t>年负荷预测</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分析区域</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预测和评估对应的行政区、园区或规划分区。</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某市某工业园区</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区域类型</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用于匹配场景、标准曲线和模型适用范围。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高电气化工业基地</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基准年份</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历史数据和预测起点对应的基准年。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2025</w:t>
            </w:r>
            <w:r>
              <w:rPr>
                <w:rFonts w:ascii="Times New Roman" w:hAnsi="Times New Roman" w:cs="Times New Roman"/>
                <w:b w:val="false"/>
                <w:color w:val="000000"/>
                <w:kern w:val="0"/>
                <w:sz w:val="21"/>
                <w:szCs w:val="22"/>
                <w:lang w:val="en-US" w:eastAsia="en-US" w:bidi="ar-SA"/>
              </w:rPr>
              <w:t>年</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预测周期</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预测起始年份和终止年份。</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2026—2035</w:t>
            </w:r>
            <w:r>
              <w:rPr>
                <w:rFonts w:ascii="Times New Roman" w:hAnsi="Times New Roman" w:cs="Times New Roman"/>
                <w:b w:val="false"/>
                <w:color w:val="000000"/>
                <w:kern w:val="0"/>
                <w:sz w:val="21"/>
                <w:szCs w:val="22"/>
                <w:lang w:val="en-US" w:eastAsia="en-US" w:bidi="ar-SA"/>
              </w:rPr>
              <w:t>年</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输出粒度</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年度、典型日或小时等结果粒度。</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年度</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典型日</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项目说明</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对数据口径、研究目的和特殊边界的说明。</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用于十五五及中长期规划分析</w:t>
            </w:r>
          </w:p>
        </w:tc>
      </w:tr>
    </w:tbl>
    <w:p>
      <w:pPr>
        <w:pStyle w:val="Normal"/>
        <w:spacing w:lineRule="auto" w:line="360" w:before="0" w:after="0"/>
        <w:ind w:hanging="0"/>
        <w:jc w:val="both"/>
        <w:rPr/>
      </w:pPr>
      <w:r>
        <w:rPr/>
      </w:r>
    </w:p>
    <w:p>
      <w:pPr>
        <w:pStyle w:val="Heading3"/>
        <w:keepNext w:val="true"/>
        <w:spacing w:before="120" w:after="100"/>
        <w:ind w:hanging="0" w:start="0" w:end="0"/>
        <w:rPr/>
      </w:pPr>
      <w:r>
        <w:rPr>
          <w:rFonts w:ascii="Times New Roman" w:hAnsi="Times New Roman" w:cs="Times New Roman"/>
          <w:b/>
          <w:color w:val="000000"/>
          <w:sz w:val="24"/>
        </w:rPr>
        <w:t>数据导入</w:t>
      </w:r>
    </w:p>
    <w:p>
      <w:pPr>
        <w:pStyle w:val="Style5"/>
        <w:spacing w:lineRule="auto" w:line="360" w:before="0" w:after="0"/>
        <w:ind w:firstLine="480" w:start="0" w:end="0"/>
        <w:jc w:val="both"/>
        <w:rPr/>
      </w:pPr>
      <w:r>
        <w:rPr>
          <w:rFonts w:ascii="Times New Roman" w:hAnsi="Times New Roman" w:cs="Times New Roman"/>
          <w:b w:val="false"/>
          <w:color w:val="000000"/>
          <w:sz w:val="24"/>
        </w:rPr>
        <w:t>数据导入采用统一</w:t>
      </w:r>
      <w:r>
        <w:rPr>
          <w:rFonts w:eastAsia="仿宋" w:cs="Times New Roman"/>
          <w:b w:val="false"/>
          <w:color w:val="000000"/>
          <w:sz w:val="24"/>
        </w:rPr>
        <w:t>Excel</w:t>
      </w:r>
      <w:r>
        <w:rPr>
          <w:rFonts w:ascii="Times New Roman" w:hAnsi="Times New Roman" w:cs="Times New Roman"/>
          <w:b w:val="false"/>
          <w:color w:val="000000"/>
          <w:sz w:val="24"/>
        </w:rPr>
        <w:t>模板。模块提供模板下载、文件上传、导入结果查看、错误提示和重新导入功能。原始文件与结构化数据同时保存，以保证数据来源可追溯。</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模板名称</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主要字段</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主要用途</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历史负荷数据模板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年份、用电量、最大负荷、传统负荷、新型负荷、典型日时序数据。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负荷现状分析、模型基准校准和预测起点确定。</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新型负荷及驱动因素模板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电动汽车、数据中心、电锅炉、电制氢等规模数据及经济、产业、气象和政策参数。</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分类型负荷预测和情景参数计算。</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典型负荷曲线模板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曲线编号、场景编号、时间点、标幺值或实际功率、适用条件。</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负荷曲线分析、目标年典型曲线生成。</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电源规划数据模板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规划年份、常规电源、新能源出力、外来电、储能出力和可用容量。</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源荷时序匹配和规划方案对比。</w:t>
            </w:r>
          </w:p>
        </w:tc>
      </w:tr>
    </w:tbl>
    <w:p>
      <w:pPr>
        <w:pStyle w:val="Normal"/>
        <w:spacing w:lineRule="auto" w:line="360" w:before="0" w:after="0"/>
        <w:ind w:hanging="0"/>
        <w:jc w:val="both"/>
        <w:rPr/>
      </w:pPr>
      <w:r>
        <w:rPr/>
      </w:r>
    </w:p>
    <w:p>
      <w:pPr>
        <w:pStyle w:val="Heading3"/>
        <w:keepNext w:val="true"/>
        <w:spacing w:before="120" w:after="100"/>
        <w:ind w:hanging="0" w:start="0" w:end="0"/>
        <w:rPr/>
      </w:pPr>
      <w:r>
        <w:rPr>
          <w:rFonts w:ascii="Times New Roman" w:hAnsi="Times New Roman" w:cs="Times New Roman"/>
          <w:b/>
          <w:color w:val="000000"/>
          <w:sz w:val="24"/>
        </w:rPr>
        <w:t>数据检查与查看</w:t>
      </w:r>
    </w:p>
    <w:p>
      <w:pPr>
        <w:pStyle w:val="Style5"/>
        <w:spacing w:lineRule="auto" w:line="360" w:before="0" w:after="0"/>
        <w:ind w:firstLine="480" w:start="0" w:end="0"/>
        <w:jc w:val="both"/>
        <w:rPr/>
      </w:pPr>
      <w:r>
        <w:rPr>
          <w:rFonts w:ascii="Times New Roman" w:hAnsi="Times New Roman" w:cs="Times New Roman"/>
          <w:b w:val="false"/>
          <w:color w:val="000000"/>
          <w:sz w:val="24"/>
        </w:rPr>
        <w:t>数据检查主要覆盖字段完整性、数据类型、空值、重复时间点、时间范围和基础数值范围。检查结果分为“通过、警告、错误”三类。存在错误的数据不得进入模型计算；存在警告时可由用户确认后继续。</w:t>
      </w:r>
    </w:p>
    <w:p>
      <w:pPr>
        <w:pStyle w:val="Style5"/>
        <w:spacing w:lineRule="auto" w:line="360" w:before="0" w:after="0"/>
        <w:ind w:firstLine="480" w:start="0" w:end="0"/>
        <w:jc w:val="both"/>
        <w:rPr/>
      </w:pPr>
      <w:r>
        <w:rPr>
          <w:rFonts w:ascii="Times New Roman" w:hAnsi="Times New Roman" w:cs="Times New Roman"/>
          <w:b w:val="false"/>
          <w:color w:val="000000"/>
          <w:sz w:val="24"/>
        </w:rPr>
        <w:t>数据查看提供表格和基础曲线两种方式。年度数据以趋势图展示，典型日数据以时序曲线展示，同时显示数据时间范围、记录数量、导入时间和当前版本。</w:t>
      </w:r>
    </w:p>
    <w:p>
      <w:pPr>
        <w:pStyle w:val="Heading2"/>
        <w:keepNext w:val="true"/>
        <w:spacing w:before="120" w:after="100"/>
        <w:ind w:hanging="0" w:start="0" w:end="0"/>
        <w:rPr/>
      </w:pPr>
      <w:bookmarkStart w:id="19" w:name="__RefHeading___Toc3948_1443650120"/>
      <w:bookmarkEnd w:id="19"/>
      <w:r>
        <w:rPr>
          <w:rFonts w:ascii="Times New Roman" w:hAnsi="Times New Roman" w:cs="Times New Roman"/>
          <w:b/>
          <w:color w:val="000000"/>
          <w:sz w:val="28"/>
        </w:rPr>
        <w:t>负荷特性分析功能</w:t>
      </w:r>
    </w:p>
    <w:p>
      <w:pPr>
        <w:pStyle w:val="Style5"/>
        <w:spacing w:lineRule="auto" w:line="360" w:before="0" w:after="0"/>
        <w:ind w:firstLine="480" w:start="0" w:end="0"/>
        <w:jc w:val="both"/>
        <w:rPr/>
      </w:pPr>
      <w:r>
        <w:rPr>
          <w:rFonts w:ascii="Times New Roman" w:hAnsi="Times New Roman" w:cs="Times New Roman"/>
          <w:b w:val="false"/>
          <w:color w:val="000000"/>
          <w:sz w:val="24"/>
        </w:rPr>
        <w:t>负荷特性分析主要用于展示区域历史负荷和新型负荷接入后的变化特征，为情景参数设置和预测结果解释提供基础。模块不要求用户在前端配置复杂算法，而是直接调用课题</w:t>
      </w:r>
      <w:r>
        <w:rPr>
          <w:rFonts w:eastAsia="仿宋" w:cs="Times New Roman"/>
          <w:b w:val="false"/>
          <w:color w:val="000000"/>
          <w:sz w:val="24"/>
        </w:rPr>
        <w:t>2</w:t>
      </w:r>
      <w:r>
        <w:rPr>
          <w:rFonts w:ascii="Times New Roman" w:hAnsi="Times New Roman" w:cs="Times New Roman"/>
          <w:b w:val="false"/>
          <w:color w:val="000000"/>
          <w:sz w:val="24"/>
        </w:rPr>
        <w:t>形成的指标口径和计算方法。</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分析类别</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主要指标或图表</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功能说明</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负荷规模分析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历年用电量、最大负荷、增长率。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展示区域负荷总体发展趋势和基准年状态。</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负荷结构分析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传统负荷、新型负荷、分类型新型负荷占比。</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反映负荷构成及各类新型负荷贡献。</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负荷曲线分析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历史典型日、原型曲线、标准曲线、接入前后曲线。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分析负荷峰谷和时序形态变化。</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特性指标分析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峰谷差、负荷率、波动率、最大爬坡率、峰值时刻。</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量化负荷波动性、峰谷特征和调节需求。</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20" w:name="__RefHeading___Toc3950_1443650120"/>
      <w:bookmarkEnd w:id="20"/>
      <w:r>
        <w:rPr>
          <w:rFonts w:ascii="Times New Roman" w:hAnsi="Times New Roman" w:cs="Times New Roman"/>
          <w:b/>
          <w:color w:val="000000"/>
          <w:sz w:val="28"/>
        </w:rPr>
        <w:t>情景参数配置功能</w:t>
      </w:r>
    </w:p>
    <w:p>
      <w:pPr>
        <w:pStyle w:val="Style5"/>
        <w:spacing w:lineRule="auto" w:line="360" w:before="0" w:after="0"/>
        <w:ind w:firstLine="480" w:start="0" w:end="0"/>
        <w:jc w:val="both"/>
        <w:rPr/>
      </w:pPr>
      <w:r>
        <w:rPr>
          <w:rFonts w:ascii="Times New Roman" w:hAnsi="Times New Roman" w:cs="Times New Roman"/>
          <w:b w:val="false"/>
          <w:color w:val="000000"/>
          <w:sz w:val="24"/>
        </w:rPr>
        <w:t>模块预置基准、低碳约束和强碳约束三类标准情景，并允许用户在合理区间内调整关键参数。情景参数来源于课题</w:t>
      </w:r>
      <w:r>
        <w:rPr>
          <w:rFonts w:eastAsia="仿宋" w:cs="Times New Roman"/>
          <w:b w:val="false"/>
          <w:color w:val="000000"/>
          <w:sz w:val="24"/>
        </w:rPr>
        <w:t>3</w:t>
      </w:r>
      <w:r>
        <w:rPr>
          <w:rFonts w:ascii="Times New Roman" w:hAnsi="Times New Roman" w:cs="Times New Roman"/>
          <w:b w:val="false"/>
          <w:color w:val="000000"/>
          <w:sz w:val="24"/>
        </w:rPr>
        <w:t>形成的不确定性因素识别和量化关联成果，参数配置需保留默认值、修改值、单位、来源和合理区间。</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参数类别</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代表性参数</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配置要求</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宏观经济</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GDP</w:t>
            </w:r>
            <w:r>
              <w:rPr>
                <w:rFonts w:ascii="Times New Roman" w:hAnsi="Times New Roman" w:cs="Times New Roman"/>
                <w:b w:val="false"/>
                <w:color w:val="000000"/>
                <w:kern w:val="0"/>
                <w:sz w:val="21"/>
                <w:szCs w:val="22"/>
                <w:lang w:val="en-US" w:eastAsia="en-US" w:bidi="ar-SA"/>
              </w:rPr>
              <w:t>增速、重点产业产值增速。</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按年份或阶段设置，明确数据来源。</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产业结构</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工业、服务业及重点行业占比变化。</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与区域产业规划保持一致。</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电气化水平</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终端电气化率、工业电能替代率。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三类情景设置不同发展水平。</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新型负荷发展</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电动汽车、数据中心、电锅炉、电制氢等增长率或规模。</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可按负荷类型设置目标年参数。</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政策与技术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政策约束强度、技术进步率、有序充电比例等。</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采用等级或量化值表达，并记录适用范围。</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气象与极端事件</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高温日数、典型气象年参数。</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用于修正最大负荷和典型曲线。</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21" w:name="__RefHeading___Toc3952_1443650120"/>
      <w:bookmarkEnd w:id="21"/>
      <w:r>
        <w:rPr>
          <w:rFonts w:ascii="Times New Roman" w:hAnsi="Times New Roman" w:cs="Times New Roman"/>
          <w:b/>
          <w:color w:val="000000"/>
          <w:sz w:val="28"/>
        </w:rPr>
        <w:t>中长期负荷预测功能</w:t>
      </w:r>
    </w:p>
    <w:p>
      <w:pPr>
        <w:pStyle w:val="Style5"/>
        <w:spacing w:lineRule="auto" w:line="360" w:before="0" w:after="0"/>
        <w:ind w:firstLine="480" w:start="0" w:end="0"/>
        <w:jc w:val="both"/>
        <w:rPr/>
      </w:pPr>
      <w:r>
        <w:rPr>
          <w:rFonts w:ascii="Times New Roman" w:hAnsi="Times New Roman" w:cs="Times New Roman"/>
          <w:b w:val="false"/>
          <w:color w:val="000000"/>
          <w:sz w:val="24"/>
        </w:rPr>
        <w:t>中长期负荷预测功能是任务</w:t>
      </w:r>
      <w:r>
        <w:rPr>
          <w:rFonts w:eastAsia="仿宋" w:cs="Times New Roman"/>
          <w:b w:val="false"/>
          <w:color w:val="000000"/>
          <w:sz w:val="24"/>
        </w:rPr>
        <w:t>1</w:t>
      </w:r>
      <w:r>
        <w:rPr>
          <w:rFonts w:ascii="Times New Roman" w:hAnsi="Times New Roman" w:cs="Times New Roman"/>
          <w:b w:val="false"/>
          <w:color w:val="000000"/>
          <w:sz w:val="24"/>
        </w:rPr>
        <w:t>的核心计算环节，用于将项目数据、情景参数以及课题</w:t>
      </w:r>
      <w:r>
        <w:rPr>
          <w:rFonts w:eastAsia="仿宋" w:cs="Times New Roman"/>
          <w:b w:val="false"/>
          <w:color w:val="000000"/>
          <w:sz w:val="24"/>
        </w:rPr>
        <w:t>1—3</w:t>
      </w:r>
      <w:r>
        <w:rPr>
          <w:rFonts w:ascii="Times New Roman" w:hAnsi="Times New Roman" w:cs="Times New Roman"/>
          <w:b w:val="false"/>
          <w:color w:val="000000"/>
          <w:sz w:val="24"/>
        </w:rPr>
        <w:t>阶段形成并经确认的模型和曲线资源组织为可执行的预测任务。该功能按照“任务配置—输入检查—模型调用与结果集成—合理性校核—结果版本形成”的流程运行，课题</w:t>
      </w:r>
      <w:r>
        <w:rPr>
          <w:rFonts w:eastAsia="仿宋" w:cs="Times New Roman"/>
          <w:b w:val="false"/>
          <w:color w:val="000000"/>
          <w:sz w:val="24"/>
        </w:rPr>
        <w:t>4</w:t>
      </w:r>
      <w:r>
        <w:rPr>
          <w:rFonts w:ascii="Times New Roman" w:hAnsi="Times New Roman" w:cs="Times New Roman"/>
          <w:b w:val="false"/>
          <w:color w:val="000000"/>
          <w:sz w:val="24"/>
        </w:rPr>
        <w:t>重点负责统一调用、口径转换、结果集成、基础校核和版本管理，不预设前序课题内部算法实现及最终模型组合方式。</w:t>
      </w:r>
    </w:p>
    <w:p>
      <w:pPr>
        <w:pStyle w:val="Normal"/>
        <w:ind w:hanging="0"/>
        <w:jc w:val="center"/>
        <w:rPr/>
      </w:pPr>
      <w:r>
        <w:rPr/>
        <w:drawing>
          <wp:inline distT="0" distB="0" distL="0" distR="0">
            <wp:extent cx="5400040" cy="2574925"/>
            <wp:effectExtent l="0" t="0" r="0" b="0"/>
            <wp:docPr id="6"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 title=""/>
                    <pic:cNvPicPr>
                      <a:picLocks noChangeAspect="1" noChangeArrowheads="1"/>
                    </pic:cNvPicPr>
                  </pic:nvPicPr>
                  <pic:blipFill>
                    <a:blip r:embed="rId7"/>
                    <a:stretch>
                      <a:fillRect/>
                    </a:stretch>
                  </pic:blipFill>
                  <pic:spPr bwMode="auto">
                    <a:xfrm>
                      <a:off x="0" y="0"/>
                      <a:ext cx="5400040" cy="2574925"/>
                    </a:xfrm>
                    <a:prstGeom prst="rect">
                      <a:avLst/>
                    </a:prstGeom>
                    <a:noFill/>
                  </pic:spPr>
                </pic:pic>
              </a:graphicData>
            </a:graphic>
          </wp:inline>
        </w:drawing>
      </w:r>
    </w:p>
    <w:p>
      <w:pPr>
        <w:pStyle w:val="Caption"/>
        <w:spacing w:before="80" w:after="120"/>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4-2 </w:t>
      </w:r>
      <w:r>
        <w:rPr>
          <w:rFonts w:ascii="Times New Roman" w:hAnsi="Times New Roman" w:cs="Times New Roman"/>
          <w:b w:val="false"/>
          <w:color w:val="000000"/>
          <w:sz w:val="21"/>
        </w:rPr>
        <w:t>中长期负荷预测内部处理流程</w:t>
      </w:r>
    </w:p>
    <w:p>
      <w:pPr>
        <w:pStyle w:val="Heading3"/>
        <w:ind w:hanging="0" w:start="0" w:end="0"/>
        <w:rPr/>
      </w:pPr>
      <w:r>
        <w:rPr>
          <w:rFonts w:ascii="Times New Roman" w:hAnsi="Times New Roman" w:cs="Times New Roman"/>
          <w:b/>
          <w:color w:val="000000"/>
          <w:sz w:val="24"/>
        </w:rPr>
        <w:t>预测任务配置</w:t>
      </w:r>
    </w:p>
    <w:p>
      <w:pPr>
        <w:pStyle w:val="Style5"/>
        <w:spacing w:lineRule="auto" w:line="360" w:before="0" w:after="0"/>
        <w:ind w:firstLine="480" w:start="0" w:end="0"/>
        <w:jc w:val="both"/>
        <w:rPr/>
      </w:pPr>
      <w:r>
        <w:rPr>
          <w:rFonts w:ascii="Times New Roman" w:hAnsi="Times New Roman" w:cs="Times New Roman"/>
          <w:b w:val="false"/>
          <w:color w:val="000000"/>
          <w:sz w:val="24"/>
        </w:rPr>
        <w:t>预测任务配置用于确定一次预测运行的基本边界和资源组合。配置内容包括分析区域、基准年份、预测周期、预测情景、输入数据版本、拟调用模型版本以及输出粒度。用户可选择单一情景运行，也可按需要一次生成基准、低碳约束和强碳约束三类情景结果。每次运行均形成独立任务记录，任务状态包括未运行、运行中、成功和失败，失败时记录并展示模型或数据处理环节返回的异常信息。</w:t>
      </w:r>
    </w:p>
    <w:p>
      <w:pPr>
        <w:pStyle w:val="Heading3"/>
        <w:ind w:hanging="0" w:start="0" w:end="0"/>
        <w:rPr/>
      </w:pPr>
      <w:r>
        <w:rPr>
          <w:rFonts w:ascii="Times New Roman" w:hAnsi="Times New Roman" w:cs="Times New Roman"/>
          <w:b/>
          <w:color w:val="000000"/>
          <w:sz w:val="24"/>
        </w:rPr>
        <w:t>预测输入准备与适用性检查</w:t>
      </w:r>
    </w:p>
    <w:p>
      <w:pPr>
        <w:pStyle w:val="Style5"/>
        <w:spacing w:lineRule="auto" w:line="360" w:before="0" w:after="0"/>
        <w:ind w:firstLine="480" w:start="0" w:end="0"/>
        <w:jc w:val="both"/>
        <w:rPr/>
      </w:pPr>
      <w:r>
        <w:rPr>
          <w:rFonts w:ascii="Times New Roman" w:hAnsi="Times New Roman" w:cs="Times New Roman"/>
          <w:b w:val="false"/>
          <w:color w:val="000000"/>
          <w:sz w:val="24"/>
        </w:rPr>
        <w:t>模型正式运行前，模块应对本次预测任务所需的数据、情景参数、模型及曲线资源进行基础适用性检查。检查目标不是替代前序课题的模型验证，而是确保课题</w:t>
      </w:r>
      <w:r>
        <w:rPr>
          <w:rFonts w:eastAsia="仿宋" w:cs="Times New Roman"/>
          <w:b w:val="false"/>
          <w:color w:val="000000"/>
          <w:sz w:val="24"/>
        </w:rPr>
        <w:t>4</w:t>
      </w:r>
      <w:r>
        <w:rPr>
          <w:rFonts w:ascii="Times New Roman" w:hAnsi="Times New Roman" w:cs="Times New Roman"/>
          <w:b w:val="false"/>
          <w:color w:val="000000"/>
          <w:sz w:val="24"/>
        </w:rPr>
        <w:t>具备完成本次预测所需的最低输入条件，避免因数据缺失、版本不一致或适用范围不匹配导致无效计算。</w:t>
      </w:r>
    </w:p>
    <w:tbl>
      <w:tblPr>
        <w:tblStyle w:val="TableGrid"/>
        <w:tblW w:w="8844"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22"/>
        <w:gridCol w:w="4421"/>
      </w:tblGrid>
      <w:tr>
        <w:trPr>
          <w:tblHeader w:val="true"/>
          <w:cantSplit w:val="true"/>
        </w:trPr>
        <w:tc>
          <w:tcPr>
            <w:tcW w:w="4422"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检查对象</w:t>
            </w:r>
          </w:p>
        </w:tc>
        <w:tc>
          <w:tcPr>
            <w:tcW w:w="4421"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主要检查内容</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数据条件</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检查必要数据是否已导入，时间范围、统计口径和基础质量是否满足当前预测任务要求。</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情景条件</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检查所选情景对应的关键参数是否完整，参数来源和版本是否明确。</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模型条件</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检查拟调用模型的版本、适用负荷类型、适用区域或数据条件是否与当前任务匹配。</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曲线资源</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检查预测过程中需要使用的原型曲线、标准负荷曲线或其他曲线资源是否具备并可调用。</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版本条件</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确认输入数据、情景参数、模型和曲线资源均具备可追溯的版本标识。</w:t>
            </w:r>
          </w:p>
        </w:tc>
      </w:tr>
    </w:tbl>
    <w:p>
      <w:pPr>
        <w:pStyle w:val="Style5"/>
        <w:spacing w:lineRule="auto" w:line="360" w:before="0" w:after="0"/>
        <w:ind w:firstLine="480" w:start="0" w:end="0"/>
        <w:jc w:val="both"/>
        <w:rPr/>
      </w:pPr>
      <w:r>
        <w:rPr>
          <w:rFonts w:ascii="Times New Roman" w:hAnsi="Times New Roman" w:cs="Times New Roman"/>
          <w:b w:val="false"/>
          <w:color w:val="000000"/>
          <w:sz w:val="24"/>
        </w:rPr>
        <w:t>对于检查发现的缺项或不匹配情况，系统应给出明确提示；影响模型正常运行的条件应阻止任务继续执行，属于可确认或可替代条件的，可由用户确认后进入后续计算。</w:t>
      </w:r>
    </w:p>
    <w:p>
      <w:pPr>
        <w:pStyle w:val="Heading3"/>
        <w:ind w:hanging="0" w:start="0" w:end="0"/>
        <w:rPr/>
      </w:pPr>
      <w:r>
        <w:rPr>
          <w:rFonts w:ascii="Times New Roman" w:hAnsi="Times New Roman" w:cs="Times New Roman"/>
          <w:b/>
          <w:color w:val="000000"/>
          <w:sz w:val="24"/>
        </w:rPr>
        <w:t>预测模型调用与结果集成</w:t>
      </w:r>
    </w:p>
    <w:p>
      <w:pPr>
        <w:pStyle w:val="Style5"/>
        <w:spacing w:lineRule="auto" w:line="360" w:before="0" w:after="0"/>
        <w:ind w:firstLine="480" w:start="0" w:end="0"/>
        <w:jc w:val="both"/>
        <w:rPr/>
      </w:pPr>
      <w:r>
        <w:rPr>
          <w:rFonts w:ascii="Times New Roman" w:hAnsi="Times New Roman" w:cs="Times New Roman"/>
          <w:b w:val="false"/>
          <w:color w:val="000000"/>
          <w:sz w:val="24"/>
        </w:rPr>
        <w:t>模块根据预测任务配置，调用课题</w:t>
      </w:r>
      <w:r>
        <w:rPr>
          <w:rFonts w:eastAsia="仿宋" w:cs="Times New Roman"/>
          <w:b w:val="false"/>
          <w:color w:val="000000"/>
          <w:sz w:val="24"/>
        </w:rPr>
        <w:t>1—3</w:t>
      </w:r>
      <w:r>
        <w:rPr>
          <w:rFonts w:ascii="Times New Roman" w:hAnsi="Times New Roman" w:cs="Times New Roman"/>
          <w:b w:val="false"/>
          <w:color w:val="000000"/>
          <w:sz w:val="24"/>
        </w:rPr>
        <w:t>阶段形成并经跨课题确认的相关模型、情景参数和曲线资源。对于不同来源的模型成果，课题</w:t>
      </w:r>
      <w:r>
        <w:rPr>
          <w:rFonts w:eastAsia="仿宋" w:cs="Times New Roman"/>
          <w:b w:val="false"/>
          <w:color w:val="000000"/>
          <w:sz w:val="24"/>
        </w:rPr>
        <w:t>4</w:t>
      </w:r>
      <w:r>
        <w:rPr>
          <w:rFonts w:ascii="Times New Roman" w:hAnsi="Times New Roman" w:cs="Times New Roman"/>
          <w:b w:val="false"/>
          <w:color w:val="000000"/>
          <w:sz w:val="24"/>
        </w:rPr>
        <w:t>通过统一调用和适配机制完成输入数据组织、字段映射、单位与口径转换、模型执行、运行状态监测、结果接收及异常信息记录，并将模型输出转换为课题</w:t>
      </w:r>
      <w:r>
        <w:rPr>
          <w:rFonts w:eastAsia="仿宋" w:cs="Times New Roman"/>
          <w:b w:val="false"/>
          <w:color w:val="000000"/>
          <w:sz w:val="24"/>
        </w:rPr>
        <w:t>4</w:t>
      </w:r>
      <w:r>
        <w:rPr>
          <w:rFonts w:ascii="Times New Roman" w:hAnsi="Times New Roman" w:cs="Times New Roman"/>
          <w:b w:val="false"/>
          <w:color w:val="000000"/>
          <w:sz w:val="24"/>
        </w:rPr>
        <w:t>统一的结果结构。</w:t>
      </w:r>
    </w:p>
    <w:p>
      <w:pPr>
        <w:pStyle w:val="Style5"/>
        <w:spacing w:lineRule="auto" w:line="360" w:before="0" w:after="0"/>
        <w:ind w:firstLine="480" w:start="0" w:end="0"/>
        <w:jc w:val="both"/>
        <w:rPr/>
      </w:pPr>
      <w:r>
        <w:rPr>
          <w:rFonts w:ascii="Times New Roman" w:hAnsi="Times New Roman" w:cs="Times New Roman"/>
          <w:b w:val="false"/>
          <w:color w:val="000000"/>
          <w:sz w:val="24"/>
        </w:rPr>
        <w:t>课题</w:t>
      </w:r>
      <w:r>
        <w:rPr>
          <w:rFonts w:eastAsia="仿宋" w:cs="Times New Roman"/>
          <w:b w:val="false"/>
          <w:color w:val="000000"/>
          <w:sz w:val="24"/>
        </w:rPr>
        <w:t>4</w:t>
      </w:r>
      <w:r>
        <w:rPr>
          <w:rFonts w:ascii="Times New Roman" w:hAnsi="Times New Roman" w:cs="Times New Roman"/>
          <w:b w:val="false"/>
          <w:color w:val="000000"/>
          <w:sz w:val="24"/>
        </w:rPr>
        <w:t>当前仅规定模型成果应能够被稳定调用并转换为统一结果口径，不提前固化分类型模型、综合预测模型及标准曲线之间的最终组合顺序。区域总负荷由何种模型直接生成、分类型新型负荷结果如何参与综合预测、标准负荷曲线在综合结果形成中的具体使用方式，均根据课题</w:t>
      </w:r>
      <w:r>
        <w:rPr>
          <w:rFonts w:eastAsia="仿宋" w:cs="Times New Roman"/>
          <w:b w:val="false"/>
          <w:color w:val="000000"/>
          <w:sz w:val="24"/>
        </w:rPr>
        <w:t>1—3</w:t>
      </w:r>
      <w:r>
        <w:rPr>
          <w:rFonts w:ascii="Times New Roman" w:hAnsi="Times New Roman" w:cs="Times New Roman"/>
          <w:b w:val="false"/>
          <w:color w:val="000000"/>
          <w:sz w:val="24"/>
        </w:rPr>
        <w:t>最终成果和后续专题协调结果确定。</w:t>
      </w:r>
    </w:p>
    <w:p>
      <w:pPr>
        <w:pStyle w:val="Heading3"/>
        <w:ind w:hanging="0" w:start="0" w:end="0"/>
        <w:rPr/>
      </w:pPr>
      <w:r>
        <w:rPr>
          <w:rFonts w:ascii="Times New Roman" w:hAnsi="Times New Roman" w:cs="Times New Roman"/>
          <w:b/>
          <w:color w:val="000000"/>
          <w:sz w:val="24"/>
        </w:rPr>
        <w:t>预测结果合理性校核</w:t>
      </w:r>
    </w:p>
    <w:p>
      <w:pPr>
        <w:pStyle w:val="Style5"/>
        <w:spacing w:lineRule="auto" w:line="360" w:before="0" w:after="0"/>
        <w:ind w:firstLine="480" w:start="0" w:end="0"/>
        <w:jc w:val="both"/>
        <w:rPr/>
      </w:pPr>
      <w:r>
        <w:rPr>
          <w:rFonts w:ascii="Times New Roman" w:hAnsi="Times New Roman" w:cs="Times New Roman"/>
          <w:b w:val="false"/>
          <w:color w:val="000000"/>
          <w:sz w:val="24"/>
        </w:rPr>
        <w:t>模型运行成功后，模块对输出结果开展基础合理性校核，以判断结果是否具备进入正式展示、典型区域验证和规划应用的条件。该环节主要检查结果的完整性、趋势和业务逻辑，不替代任务</w:t>
      </w:r>
      <w:r>
        <w:rPr>
          <w:rFonts w:eastAsia="仿宋" w:cs="Times New Roman"/>
          <w:b w:val="false"/>
          <w:color w:val="000000"/>
          <w:sz w:val="24"/>
        </w:rPr>
        <w:t>2</w:t>
      </w:r>
      <w:r>
        <w:rPr>
          <w:rFonts w:ascii="Times New Roman" w:hAnsi="Times New Roman" w:cs="Times New Roman"/>
          <w:b w:val="false"/>
          <w:color w:val="000000"/>
          <w:sz w:val="24"/>
        </w:rPr>
        <w:t>中的历史回溯验证、区域适用性验证和预测精度评价。</w:t>
      </w:r>
    </w:p>
    <w:tbl>
      <w:tblPr>
        <w:tblStyle w:val="TableGrid"/>
        <w:tblW w:w="8844"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22"/>
        <w:gridCol w:w="4421"/>
      </w:tblGrid>
      <w:tr>
        <w:trPr>
          <w:tblHeader w:val="true"/>
          <w:cantSplit w:val="true"/>
        </w:trPr>
        <w:tc>
          <w:tcPr>
            <w:tcW w:w="4422"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校核类别</w:t>
            </w:r>
          </w:p>
        </w:tc>
        <w:tc>
          <w:tcPr>
            <w:tcW w:w="4421"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主要校核内容</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完整性校核</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检查预测年份、情景、负荷类型、指标及典型时序结果是否完整，是否存在缺失或计算失败。</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趋势合理性校核</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检查负荷规模、增长率及情景发展路径是否存在明显异常跳变、断点或与输入边界明显矛盾的变化。</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结构一致性校核</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检查区域总负荷、传统负荷、新型负荷及分类型结果之间的统计关系和结构占比是否保持一致。</w:t>
            </w:r>
          </w:p>
        </w:tc>
      </w:tr>
      <w:tr>
        <w:trPr>
          <w:cantSplit w:val="true"/>
        </w:trPr>
        <w:tc>
          <w:tcPr>
            <w:tcW w:w="4422"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物理与业务合理性校核</w:t>
            </w:r>
          </w:p>
        </w:tc>
        <w:tc>
          <w:tcPr>
            <w:tcW w:w="4421"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检查最大负荷、典型曲线、预测区间等是否突破已知容量边界、规划边界或明显违背业务常识。</w:t>
            </w:r>
          </w:p>
        </w:tc>
      </w:tr>
    </w:tbl>
    <w:p>
      <w:pPr>
        <w:pStyle w:val="Style5"/>
        <w:spacing w:lineRule="auto" w:line="360" w:before="0" w:after="0"/>
        <w:ind w:firstLine="480" w:start="0" w:end="0"/>
        <w:jc w:val="both"/>
        <w:rPr/>
      </w:pPr>
      <w:r>
        <w:rPr>
          <w:rFonts w:ascii="Times New Roman" w:hAnsi="Times New Roman" w:cs="Times New Roman"/>
          <w:b w:val="false"/>
          <w:color w:val="000000"/>
          <w:sz w:val="24"/>
        </w:rPr>
        <w:t>校核通过的结果可形成正式预测版本；校核未通过时，应记录问题类型，并返回相应的数据、参数或模型条件进行检查和调整。</w:t>
      </w:r>
    </w:p>
    <w:p>
      <w:pPr>
        <w:pStyle w:val="Heading3"/>
        <w:ind w:hanging="0" w:start="0" w:end="0"/>
        <w:rPr/>
      </w:pPr>
      <w:r>
        <w:rPr>
          <w:rFonts w:ascii="Times New Roman" w:hAnsi="Times New Roman" w:cs="Times New Roman"/>
          <w:b/>
          <w:color w:val="000000"/>
          <w:sz w:val="24"/>
        </w:rPr>
        <w:t>预测结果形成与展示</w:t>
      </w:r>
    </w:p>
    <w:p>
      <w:pPr>
        <w:pStyle w:val="Style5"/>
        <w:spacing w:lineRule="auto" w:line="360" w:before="0" w:after="0"/>
        <w:ind w:firstLine="480" w:start="0" w:end="0"/>
        <w:jc w:val="both"/>
        <w:rPr/>
      </w:pPr>
      <w:r>
        <w:rPr>
          <w:rFonts w:ascii="Times New Roman" w:hAnsi="Times New Roman" w:cs="Times New Roman"/>
          <w:b w:val="false"/>
          <w:color w:val="000000"/>
          <w:sz w:val="24"/>
        </w:rPr>
        <w:t>通过基础合理性校核后，模块将本次预测结果按照统一结构保存，并绑定输入数据版本、情景参数版本、模型版本及生成时间，形成可追溯的正式预测结果版本。结果用于后续情景比较、典型区域验证、动态更新及规划分析。</w:t>
      </w:r>
    </w:p>
    <w:tbl>
      <w:tblPr>
        <w:tblStyle w:val="TableGrid"/>
        <w:tblW w:w="8844"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48"/>
        <w:gridCol w:w="2948"/>
        <w:gridCol w:w="2948"/>
      </w:tblGrid>
      <w:tr>
        <w:trPr>
          <w:tblHeader w:val="true"/>
          <w:cantSplit w:val="true"/>
        </w:trPr>
        <w:tc>
          <w:tcPr>
            <w:tcW w:w="2948"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结果类别</w:t>
            </w:r>
          </w:p>
        </w:tc>
        <w:tc>
          <w:tcPr>
            <w:tcW w:w="2948"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输出内容</w:t>
            </w:r>
          </w:p>
        </w:tc>
        <w:tc>
          <w:tcPr>
            <w:tcW w:w="2948" w:type="dxa"/>
            <w:tcBorders>
              <w:top w:val="single" w:sz="4" w:space="0" w:color="808080"/>
              <w:start w:val="single" w:sz="4" w:space="0" w:color="808080"/>
              <w:bottom w:val="single" w:sz="4" w:space="0" w:color="808080"/>
              <w:end w:val="single" w:sz="4" w:space="0" w:color="808080"/>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展示方式</w:t>
            </w:r>
          </w:p>
        </w:tc>
      </w:tr>
      <w:tr>
        <w:trPr>
          <w:cantSplit w:val="true"/>
        </w:trPr>
        <w:tc>
          <w:tcPr>
            <w:tcW w:w="2948"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负荷规模</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年度用电量、年度最大负荷、增长率。</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年度趋势图和数据表。</w:t>
            </w:r>
          </w:p>
        </w:tc>
      </w:tr>
      <w:tr>
        <w:trPr>
          <w:cantSplit w:val="true"/>
        </w:trPr>
        <w:tc>
          <w:tcPr>
            <w:tcW w:w="2948"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负荷结构</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传统负荷及各类新型负荷规模和占比。</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堆叠图、占比图和数据表。</w:t>
            </w:r>
          </w:p>
        </w:tc>
      </w:tr>
      <w:tr>
        <w:trPr>
          <w:cantSplit w:val="true"/>
        </w:trPr>
        <w:tc>
          <w:tcPr>
            <w:tcW w:w="2948"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情景对比</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基准、低碳约束、强碳约束情景预测结果。</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多曲线对比和差异表。</w:t>
            </w:r>
          </w:p>
        </w:tc>
      </w:tr>
      <w:tr>
        <w:trPr>
          <w:cantSplit w:val="true"/>
        </w:trPr>
        <w:tc>
          <w:tcPr>
            <w:tcW w:w="2948"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典型日曲线</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目标年份</w:t>
            </w:r>
            <w:r>
              <w:rPr>
                <w:rFonts w:eastAsia="仿宋" w:cs="Times New Roman"/>
                <w:b w:val="false"/>
                <w:color w:val="000000"/>
                <w:kern w:val="0"/>
                <w:sz w:val="21"/>
                <w:szCs w:val="22"/>
                <w:lang w:val="en-US" w:eastAsia="en-US" w:bidi="ar-SA"/>
              </w:rPr>
              <w:t>24</w:t>
            </w:r>
            <w:r>
              <w:rPr>
                <w:rFonts w:ascii="Times New Roman" w:hAnsi="Times New Roman" w:cs="Times New Roman"/>
                <w:b w:val="false"/>
                <w:color w:val="000000"/>
                <w:kern w:val="0"/>
                <w:sz w:val="21"/>
                <w:szCs w:val="22"/>
                <w:lang w:val="en-US" w:eastAsia="en-US" w:bidi="ar-SA"/>
              </w:rPr>
              <w:t>点或</w:t>
            </w:r>
            <w:r>
              <w:rPr>
                <w:rFonts w:eastAsia="仿宋" w:cs="Times New Roman"/>
                <w:b w:val="false"/>
                <w:color w:val="000000"/>
                <w:kern w:val="0"/>
                <w:sz w:val="21"/>
                <w:szCs w:val="22"/>
                <w:lang w:val="en-US" w:eastAsia="en-US" w:bidi="ar-SA"/>
              </w:rPr>
              <w:t>96</w:t>
            </w:r>
            <w:r>
              <w:rPr>
                <w:rFonts w:ascii="Times New Roman" w:hAnsi="Times New Roman" w:cs="Times New Roman"/>
                <w:b w:val="false"/>
                <w:color w:val="000000"/>
                <w:kern w:val="0"/>
                <w:sz w:val="21"/>
                <w:szCs w:val="22"/>
                <w:lang w:val="en-US" w:eastAsia="en-US" w:bidi="ar-SA"/>
              </w:rPr>
              <w:t>点负荷曲线。</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时序曲线及峰谷标注。</w:t>
            </w:r>
          </w:p>
        </w:tc>
      </w:tr>
      <w:tr>
        <w:trPr>
          <w:cantSplit w:val="true"/>
        </w:trPr>
        <w:tc>
          <w:tcPr>
            <w:tcW w:w="2948" w:type="dxa"/>
            <w:tcBorders>
              <w:top w:val="single" w:sz="4" w:space="0" w:color="808080"/>
              <w:start w:val="single" w:sz="4" w:space="0" w:color="808080"/>
              <w:bottom w:val="single" w:sz="4" w:space="0" w:color="808080"/>
              <w:end w:val="single" w:sz="4" w:space="0" w:color="808080"/>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预测区间</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预测下限、中心值和上限。</w:t>
            </w:r>
          </w:p>
        </w:tc>
        <w:tc>
          <w:tcPr>
            <w:tcW w:w="2948" w:type="dxa"/>
            <w:tcBorders>
              <w:top w:val="single" w:sz="4" w:space="0" w:color="808080"/>
              <w:start w:val="single" w:sz="4" w:space="0" w:color="808080"/>
              <w:bottom w:val="single" w:sz="4" w:space="0" w:color="808080"/>
              <w:end w:val="single" w:sz="4" w:space="0" w:color="808080"/>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区间带图和结果表。</w:t>
            </w:r>
          </w:p>
        </w:tc>
      </w:tr>
    </w:tbl>
    <w:p>
      <w:pPr>
        <w:pStyle w:val="Heading2"/>
        <w:keepNext w:val="true"/>
        <w:spacing w:before="120" w:after="100"/>
        <w:ind w:hanging="0" w:start="0" w:end="0"/>
        <w:rPr/>
      </w:pPr>
      <w:bookmarkStart w:id="22" w:name="__RefHeading___Toc3954_1443650120"/>
      <w:bookmarkEnd w:id="22"/>
      <w:r>
        <w:rPr>
          <w:rFonts w:ascii="Times New Roman" w:hAnsi="Times New Roman" w:cs="Times New Roman"/>
          <w:b/>
          <w:color w:val="000000"/>
          <w:sz w:val="28"/>
        </w:rPr>
        <w:t>预测结果动态更新功能</w:t>
      </w:r>
    </w:p>
    <w:p>
      <w:pPr>
        <w:pStyle w:val="Style5"/>
        <w:spacing w:lineRule="auto" w:line="360" w:before="0" w:after="0"/>
        <w:ind w:firstLine="480" w:start="0" w:end="0"/>
        <w:jc w:val="both"/>
        <w:rPr/>
      </w:pPr>
      <w:r>
        <w:rPr>
          <w:rFonts w:ascii="Times New Roman" w:hAnsi="Times New Roman" w:cs="Times New Roman"/>
          <w:b w:val="false"/>
          <w:color w:val="000000"/>
          <w:sz w:val="24"/>
        </w:rPr>
        <w:t>动态更新采用“新增数据导入—参数调整—重新计算—版本对比”的实现方式。每次预测运行生成独立版本，并记录数据版本、情景参数版本、模型版本和生成时间。用户可选择两个版本对比最大负荷、用电量、负荷结构和典型日曲线变化。</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版本信息</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记录内容</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输入数据版本</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历史负荷、新型负荷和驱动因素数据的版本编号。</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情景参数版本</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三类情景参数及用户调整值的版本编号。</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模型版本</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本次预测调用的分类型模型和综合预测模型版本。</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结果版本</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预测结果唯一编号、生成时间和结果状态。</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变化说明</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新增数据、政策调整或参数变化等重新计算原因。</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23" w:name="__RefHeading___Toc3956_1443650120"/>
      <w:bookmarkEnd w:id="23"/>
      <w:r>
        <w:rPr>
          <w:rFonts w:ascii="Times New Roman" w:hAnsi="Times New Roman" w:cs="Times New Roman"/>
          <w:b/>
          <w:color w:val="000000"/>
          <w:sz w:val="28"/>
        </w:rPr>
        <w:t>结果展示与输出功能</w:t>
      </w:r>
    </w:p>
    <w:p>
      <w:pPr>
        <w:pStyle w:val="Style5"/>
        <w:spacing w:lineRule="auto" w:line="360" w:before="0" w:after="0"/>
        <w:ind w:firstLine="480" w:start="0" w:end="0"/>
        <w:jc w:val="both"/>
        <w:rPr/>
      </w:pPr>
      <w:r>
        <w:rPr>
          <w:rFonts w:ascii="Times New Roman" w:hAnsi="Times New Roman" w:cs="Times New Roman"/>
          <w:b w:val="false"/>
          <w:color w:val="000000"/>
          <w:sz w:val="24"/>
        </w:rPr>
        <w:t>结果与报告功能用于集中展示项目关键结论，并形成可用于科研分析和规划研究的标准化成果。结果汇总页应包含项目概况、数据情况、情景参数、负荷预测、版本对比和源荷匹配结果。</w:t>
      </w:r>
    </w:p>
    <w:p>
      <w:pPr>
        <w:pStyle w:val="Style5"/>
        <w:spacing w:lineRule="auto" w:line="360" w:before="0" w:after="0"/>
        <w:ind w:firstLine="480" w:start="0" w:end="0"/>
        <w:jc w:val="both"/>
        <w:rPr/>
      </w:pPr>
      <w:r>
        <w:rPr>
          <w:rFonts w:ascii="Times New Roman" w:hAnsi="Times New Roman" w:cs="Times New Roman"/>
          <w:b w:val="false"/>
          <w:color w:val="000000"/>
          <w:sz w:val="24"/>
        </w:rPr>
        <w:t>数据输出以</w:t>
      </w:r>
      <w:r>
        <w:rPr>
          <w:rFonts w:eastAsia="仿宋" w:cs="Times New Roman"/>
          <w:b w:val="false"/>
          <w:color w:val="000000"/>
          <w:sz w:val="24"/>
        </w:rPr>
        <w:t>Excel</w:t>
      </w:r>
      <w:r>
        <w:rPr>
          <w:rFonts w:ascii="Times New Roman" w:hAnsi="Times New Roman" w:cs="Times New Roman"/>
          <w:b w:val="false"/>
          <w:color w:val="000000"/>
          <w:sz w:val="24"/>
        </w:rPr>
        <w:t>为主，按照项目基本信息、输入数据摘要、情景参数、负荷预测结果、负荷结构、典型日曲线、源荷匹配结果和方案对比结果分别设置工作表。报告输出采用固定</w:t>
      </w:r>
      <w:r>
        <w:rPr>
          <w:rFonts w:eastAsia="仿宋" w:cs="Times New Roman"/>
          <w:b w:val="false"/>
          <w:color w:val="000000"/>
          <w:sz w:val="24"/>
        </w:rPr>
        <w:t>Word</w:t>
      </w:r>
      <w:r>
        <w:rPr>
          <w:rFonts w:ascii="Times New Roman" w:hAnsi="Times New Roman" w:cs="Times New Roman"/>
          <w:b w:val="false"/>
          <w:color w:val="000000"/>
          <w:sz w:val="24"/>
        </w:rPr>
        <w:t>模板，自动插入项目基本信息、关键结果表和主要图表。</w:t>
      </w:r>
    </w:p>
    <w:p>
      <w:pPr>
        <w:pStyle w:val="Heading1"/>
        <w:keepNext w:val="true"/>
        <w:spacing w:before="200" w:after="100"/>
        <w:ind w:hanging="0" w:start="0" w:end="0"/>
        <w:rPr/>
      </w:pPr>
      <w:bookmarkStart w:id="24" w:name="__RefHeading___Toc3958_1443650120"/>
      <w:bookmarkEnd w:id="24"/>
      <w:r>
        <w:rPr>
          <w:rFonts w:ascii="Times New Roman" w:hAnsi="Times New Roman" w:cs="Times New Roman"/>
          <w:b/>
          <w:color w:val="000000"/>
          <w:sz w:val="32"/>
        </w:rPr>
        <w:t>任务</w:t>
      </w:r>
      <w:r>
        <w:rPr>
          <w:rFonts w:eastAsia="黑体" w:cs="Times New Roman"/>
          <w:b/>
          <w:color w:val="000000"/>
          <w:sz w:val="32"/>
        </w:rPr>
        <w:t>2</w:t>
      </w:r>
      <w:r>
        <w:rPr>
          <w:rFonts w:ascii="Times New Roman" w:hAnsi="Times New Roman" w:cs="Times New Roman"/>
          <w:b/>
          <w:color w:val="000000"/>
          <w:sz w:val="32"/>
        </w:rPr>
        <w:t>：适配多情景及多重不确定因素的中长期负荷预测模块典型区域验证</w:t>
      </w:r>
    </w:p>
    <w:p>
      <w:pPr>
        <w:pStyle w:val="Heading2"/>
        <w:ind w:hanging="0" w:start="0" w:end="0"/>
        <w:rPr/>
      </w:pPr>
      <w:bookmarkStart w:id="25" w:name="__RefHeading___Toc5658_1700276777"/>
      <w:bookmarkEnd w:id="25"/>
      <w:r>
        <w:rPr/>
        <w:t>任务目标与验证边界</w:t>
      </w:r>
    </w:p>
    <w:p>
      <w:pPr>
        <w:pStyle w:val="Style5"/>
        <w:rPr/>
      </w:pPr>
      <w:r>
        <w:rPr/>
        <w:t>将任务</w:t>
      </w:r>
      <w:r>
        <w:rPr/>
        <w:t>1</w:t>
      </w:r>
      <w:r>
        <w:rPr/>
        <w:t>形成的中长期负荷预测模块应用于高电气化工业基地和电动汽车高渗透率城市，围绕“数据能否适配、模型能否运行、结果是否可信、业务闭环能否走通”开展典型区域验证。通过真实区域数据接入、情景与模型配置、预测运行、结果验证、问题识别、参数校准和重新计算，检验课题</w:t>
      </w:r>
      <w:r>
        <w:rPr/>
        <w:t>1—3</w:t>
      </w:r>
      <w:r>
        <w:rPr/>
        <w:t>成果集成到课题</w:t>
      </w:r>
      <w:r>
        <w:rPr/>
        <w:t>4</w:t>
      </w:r>
      <w:r>
        <w:rPr/>
        <w:t>后的工程适用性和应用效果。</w:t>
      </w:r>
    </w:p>
    <w:p>
      <w:pPr>
        <w:pStyle w:val="Style5"/>
        <w:rPr/>
      </w:pPr>
      <w:r>
        <w:rPr/>
        <w:t>典型区域验证的主要职责是检验课题</w:t>
      </w:r>
      <w:r>
        <w:rPr/>
        <w:t>4</w:t>
      </w:r>
      <w:r>
        <w:rPr/>
        <w:t>集成成果的适用性，并将验证发现反馈至数据模板、情景参数、模型适用范围、模型接口和结果展示等环节，不替代课题</w:t>
      </w:r>
      <w:r>
        <w:rPr/>
        <w:t>1—3</w:t>
      </w:r>
      <w:r>
        <w:rPr/>
        <w:t>重新开展基础机理、负荷特性或预测模型研发。涉及前序课题模型结构和核心算法的调整，应通过跨课题协调确认后实施。</w:t>
      </w:r>
    </w:p>
    <w:p>
      <w:pPr>
        <w:pStyle w:val="Heading2"/>
        <w:ind w:hanging="0" w:start="0" w:end="0"/>
        <w:rPr/>
      </w:pPr>
      <w:bookmarkStart w:id="26" w:name="__RefHeading___Toc5660_1700276777"/>
      <w:bookmarkEnd w:id="26"/>
      <w:r>
        <w:rPr/>
        <w:t>典型区域验证总体流程</w:t>
      </w:r>
    </w:p>
    <w:p>
      <w:pPr>
        <w:pStyle w:val="Style5"/>
        <w:rPr/>
      </w:pPr>
      <w:r>
        <w:rPr/>
        <w:t>典型区域验证采用“区域选择与边界确定—数据准备与质量评估—情景与模型适用性配置—预测任务运行—结果验证与合理性分析—问题识别与参数校准—重新计算与前后对比—形成验证结论及模块优化建议”的闭环流程。验证不以单次模型运行成功作为结束条件，而是同时覆盖数据、模型、预测结果和模块应用四个层次。</w:t>
      </w:r>
    </w:p>
    <w:p>
      <w:pPr>
        <w:pStyle w:val="Caption"/>
        <w:jc w:val="center"/>
        <w:rPr/>
      </w:pPr>
      <w:r>
        <w:rPr/>
        <w:t>表</w:t>
      </w:r>
      <w:r>
        <w:rPr/>
        <w:t xml:space="preserve">5-1 </w:t>
      </w:r>
      <w:r>
        <w:rPr/>
        <w:t>典型区域验证总体框架</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2211"/>
        <w:gridCol w:w="2211"/>
        <w:gridCol w:w="2210"/>
      </w:tblGrid>
      <w:tr>
        <w:trPr>
          <w:tblHeader w:val="true"/>
          <w:cantSplit w:val="true"/>
        </w:trPr>
        <w:tc>
          <w:tcPr>
            <w:tcW w:w="2211" w:type="dxa"/>
            <w:tcBorders/>
            <w:shd w:fill="F2F2F2"/>
            <w:vAlign w:val="center"/>
          </w:tcPr>
          <w:p>
            <w:pPr>
              <w:pStyle w:val="Style6"/>
              <w:jc w:val="center"/>
              <w:rPr/>
            </w:pPr>
            <w:r>
              <w:rPr/>
              <w:t>验证层级</w:t>
            </w:r>
          </w:p>
        </w:tc>
        <w:tc>
          <w:tcPr>
            <w:tcW w:w="2211" w:type="dxa"/>
            <w:tcBorders/>
            <w:shd w:fill="F2F2F2"/>
            <w:vAlign w:val="center"/>
          </w:tcPr>
          <w:p>
            <w:pPr>
              <w:pStyle w:val="Style6"/>
              <w:jc w:val="center"/>
              <w:rPr/>
            </w:pPr>
            <w:r>
              <w:rPr/>
              <w:t>核心问题</w:t>
            </w:r>
          </w:p>
        </w:tc>
        <w:tc>
          <w:tcPr>
            <w:tcW w:w="2211" w:type="dxa"/>
            <w:tcBorders/>
            <w:shd w:fill="F2F2F2"/>
            <w:vAlign w:val="center"/>
          </w:tcPr>
          <w:p>
            <w:pPr>
              <w:pStyle w:val="Style6"/>
              <w:jc w:val="center"/>
              <w:rPr/>
            </w:pPr>
            <w:r>
              <w:rPr/>
              <w:t>主要验证内容</w:t>
            </w:r>
          </w:p>
        </w:tc>
        <w:tc>
          <w:tcPr>
            <w:tcW w:w="2210" w:type="dxa"/>
            <w:tcBorders/>
            <w:shd w:fill="F2F2F2"/>
            <w:vAlign w:val="center"/>
          </w:tcPr>
          <w:p>
            <w:pPr>
              <w:pStyle w:val="Style6"/>
              <w:jc w:val="center"/>
              <w:rPr/>
            </w:pPr>
            <w:r>
              <w:rPr/>
              <w:t>主要输出</w:t>
            </w:r>
          </w:p>
        </w:tc>
      </w:tr>
      <w:tr>
        <w:trPr>
          <w:cantSplit w:val="true"/>
        </w:trPr>
        <w:tc>
          <w:tcPr>
            <w:tcW w:w="2211" w:type="dxa"/>
            <w:tcBorders/>
            <w:vAlign w:val="center"/>
          </w:tcPr>
          <w:p>
            <w:pPr>
              <w:pStyle w:val="-"/>
              <w:jc w:val="center"/>
              <w:rPr/>
            </w:pPr>
            <w:r>
              <w:rPr/>
              <w:t>数据适配验证</w:t>
            </w:r>
          </w:p>
        </w:tc>
        <w:tc>
          <w:tcPr>
            <w:tcW w:w="2211" w:type="dxa"/>
            <w:tcBorders/>
            <w:vAlign w:val="center"/>
          </w:tcPr>
          <w:p>
            <w:pPr>
              <w:pStyle w:val="Style7"/>
              <w:rPr/>
            </w:pPr>
            <w:r>
              <w:rPr/>
              <w:t>实际区域数据能否稳定接入课题</w:t>
            </w:r>
            <w:r>
              <w:rPr/>
              <w:t>4</w:t>
            </w:r>
            <w:r>
              <w:rPr/>
              <w:t>？</w:t>
            </w:r>
          </w:p>
        </w:tc>
        <w:tc>
          <w:tcPr>
            <w:tcW w:w="2211" w:type="dxa"/>
            <w:tcBorders/>
            <w:vAlign w:val="center"/>
          </w:tcPr>
          <w:p>
            <w:pPr>
              <w:pStyle w:val="Style7"/>
              <w:rPr/>
            </w:pPr>
            <w:r>
              <w:rPr/>
              <w:t>检查数据类别覆盖、时间范围、时间与空间粒度、缺失情况、数据质量及模板适配情况。</w:t>
            </w:r>
          </w:p>
        </w:tc>
        <w:tc>
          <w:tcPr>
            <w:tcW w:w="2210" w:type="dxa"/>
            <w:tcBorders/>
            <w:vAlign w:val="center"/>
          </w:tcPr>
          <w:p>
            <w:pPr>
              <w:pStyle w:val="-"/>
              <w:jc w:val="center"/>
              <w:rPr/>
            </w:pPr>
            <w:r>
              <w:rPr/>
              <w:t>数据适配记录及问题清单</w:t>
            </w:r>
          </w:p>
        </w:tc>
      </w:tr>
      <w:tr>
        <w:trPr>
          <w:cantSplit w:val="true"/>
        </w:trPr>
        <w:tc>
          <w:tcPr>
            <w:tcW w:w="2211" w:type="dxa"/>
            <w:tcBorders/>
            <w:vAlign w:val="center"/>
          </w:tcPr>
          <w:p>
            <w:pPr>
              <w:pStyle w:val="-"/>
              <w:jc w:val="center"/>
              <w:rPr/>
            </w:pPr>
            <w:r>
              <w:rPr/>
              <w:t>模型适用验证</w:t>
            </w:r>
          </w:p>
        </w:tc>
        <w:tc>
          <w:tcPr>
            <w:tcW w:w="2211" w:type="dxa"/>
            <w:tcBorders/>
            <w:vAlign w:val="center"/>
          </w:tcPr>
          <w:p>
            <w:pPr>
              <w:pStyle w:val="Style7"/>
              <w:rPr/>
            </w:pPr>
            <w:r>
              <w:rPr/>
              <w:t>前序模型与曲线资源能否在该区域正常使用？</w:t>
            </w:r>
          </w:p>
        </w:tc>
        <w:tc>
          <w:tcPr>
            <w:tcW w:w="2211" w:type="dxa"/>
            <w:tcBorders/>
            <w:vAlign w:val="center"/>
          </w:tcPr>
          <w:p>
            <w:pPr>
              <w:pStyle w:val="Style7"/>
              <w:rPr/>
            </w:pPr>
            <w:r>
              <w:rPr/>
              <w:t>检查模型输入条件、适用对象、版本完整性、调用稳定性、输出完整性及曲线资源匹配情况。</w:t>
            </w:r>
          </w:p>
        </w:tc>
        <w:tc>
          <w:tcPr>
            <w:tcW w:w="2210" w:type="dxa"/>
            <w:tcBorders/>
            <w:vAlign w:val="center"/>
          </w:tcPr>
          <w:p>
            <w:pPr>
              <w:pStyle w:val="-"/>
              <w:jc w:val="center"/>
              <w:rPr/>
            </w:pPr>
            <w:r>
              <w:rPr/>
              <w:t>模型适用性记录及运行结果</w:t>
            </w:r>
          </w:p>
        </w:tc>
      </w:tr>
      <w:tr>
        <w:trPr>
          <w:cantSplit w:val="true"/>
        </w:trPr>
        <w:tc>
          <w:tcPr>
            <w:tcW w:w="2211" w:type="dxa"/>
            <w:tcBorders/>
            <w:vAlign w:val="center"/>
          </w:tcPr>
          <w:p>
            <w:pPr>
              <w:pStyle w:val="-"/>
              <w:jc w:val="center"/>
              <w:rPr/>
            </w:pPr>
            <w:r>
              <w:rPr/>
              <w:t>预测结果验证</w:t>
            </w:r>
          </w:p>
        </w:tc>
        <w:tc>
          <w:tcPr>
            <w:tcW w:w="2211" w:type="dxa"/>
            <w:tcBorders/>
            <w:vAlign w:val="center"/>
          </w:tcPr>
          <w:p>
            <w:pPr>
              <w:pStyle w:val="Style7"/>
              <w:rPr/>
            </w:pPr>
            <w:r>
              <w:rPr/>
              <w:t>预测结果是否具备业务可信度？</w:t>
            </w:r>
          </w:p>
        </w:tc>
        <w:tc>
          <w:tcPr>
            <w:tcW w:w="2211" w:type="dxa"/>
            <w:tcBorders/>
            <w:vAlign w:val="center"/>
          </w:tcPr>
          <w:p>
            <w:pPr>
              <w:pStyle w:val="Style7"/>
              <w:rPr/>
            </w:pPr>
            <w:r>
              <w:rPr/>
              <w:t>开展历史回溯、趋势合理性、已知规划边界以及物理与业务合理性校核。</w:t>
            </w:r>
          </w:p>
        </w:tc>
        <w:tc>
          <w:tcPr>
            <w:tcW w:w="2210" w:type="dxa"/>
            <w:tcBorders/>
            <w:vAlign w:val="center"/>
          </w:tcPr>
          <w:p>
            <w:pPr>
              <w:pStyle w:val="-"/>
              <w:jc w:val="center"/>
              <w:rPr/>
            </w:pPr>
            <w:r>
              <w:rPr/>
              <w:t>验证指标、对比结果及校核结论</w:t>
            </w:r>
          </w:p>
        </w:tc>
      </w:tr>
      <w:tr>
        <w:trPr>
          <w:cantSplit w:val="true"/>
        </w:trPr>
        <w:tc>
          <w:tcPr>
            <w:tcW w:w="2211" w:type="dxa"/>
            <w:tcBorders/>
            <w:vAlign w:val="center"/>
          </w:tcPr>
          <w:p>
            <w:pPr>
              <w:pStyle w:val="-"/>
              <w:jc w:val="center"/>
              <w:rPr/>
            </w:pPr>
            <w:r>
              <w:rPr/>
              <w:t>模块应用验证</w:t>
            </w:r>
          </w:p>
        </w:tc>
        <w:tc>
          <w:tcPr>
            <w:tcW w:w="2211" w:type="dxa"/>
            <w:tcBorders/>
            <w:vAlign w:val="center"/>
          </w:tcPr>
          <w:p>
            <w:pPr>
              <w:pStyle w:val="Style7"/>
              <w:rPr/>
            </w:pPr>
            <w:r>
              <w:rPr/>
              <w:t>完整业务流程能否顺利闭环？</w:t>
            </w:r>
          </w:p>
        </w:tc>
        <w:tc>
          <w:tcPr>
            <w:tcW w:w="2211" w:type="dxa"/>
            <w:tcBorders/>
            <w:vAlign w:val="center"/>
          </w:tcPr>
          <w:p>
            <w:pPr>
              <w:pStyle w:val="Style7"/>
              <w:rPr/>
            </w:pPr>
            <w:r>
              <w:rPr/>
              <w:t>验证数据导入、特性分析、情景配置、预测运行、结果查看、版本对比和成果导出等流程。</w:t>
            </w:r>
          </w:p>
        </w:tc>
        <w:tc>
          <w:tcPr>
            <w:tcW w:w="2210" w:type="dxa"/>
            <w:tcBorders/>
            <w:vAlign w:val="center"/>
          </w:tcPr>
          <w:p>
            <w:pPr>
              <w:pStyle w:val="-"/>
              <w:jc w:val="center"/>
              <w:rPr/>
            </w:pPr>
            <w:r>
              <w:rPr/>
              <w:t>模块应用问题及优化建议</w:t>
            </w:r>
          </w:p>
        </w:tc>
      </w:tr>
    </w:tbl>
    <w:p>
      <w:pPr>
        <w:pStyle w:val="Style5"/>
        <w:rPr/>
      </w:pPr>
      <w:r>
        <w:rPr/>
        <w:t>对验证中发现的问题，按照“问题记录—原因定位—调整数据</w:t>
      </w:r>
      <w:r>
        <w:rPr/>
        <w:t>/</w:t>
      </w:r>
      <w:r>
        <w:rPr/>
        <w:t>参数</w:t>
      </w:r>
      <w:r>
        <w:rPr/>
        <w:t>/</w:t>
      </w:r>
      <w:r>
        <w:rPr/>
        <w:t>模型适用条件—重新运行—形成新结果版本—前后对比”的方式处理。校准前后结果均应保留版本信息，确保验证过程和优化依据可追溯。</w:t>
      </w:r>
    </w:p>
    <w:p>
      <w:pPr>
        <w:pStyle w:val="Heading2"/>
        <w:ind w:hanging="0" w:start="0" w:end="0"/>
        <w:rPr/>
      </w:pPr>
      <w:bookmarkStart w:id="27" w:name="__RefHeading___Toc5662_1700276777"/>
      <w:bookmarkEnd w:id="27"/>
      <w:r>
        <w:rPr/>
        <w:t>高电气化工业基地验证</w:t>
      </w:r>
    </w:p>
    <w:p>
      <w:pPr>
        <w:pStyle w:val="Heading3"/>
        <w:ind w:hanging="0" w:start="0" w:end="0"/>
        <w:rPr/>
      </w:pPr>
      <w:r>
        <w:rPr/>
        <w:t>验证重点与区域边界</w:t>
      </w:r>
    </w:p>
    <w:p>
      <w:pPr>
        <w:pStyle w:val="Style5"/>
        <w:rPr/>
      </w:pPr>
      <w:r>
        <w:rPr/>
        <w:t>高电气化工业基地验证重点关注产业结构调整、工业电能替代、重大项目投产以及工业电锅炉</w:t>
      </w:r>
      <w:r>
        <w:rPr/>
        <w:t>/</w:t>
      </w:r>
      <w:r>
        <w:rPr/>
        <w:t>电窑炉、电制氢、数据中心、储能等新型负荷对区域最大负荷、负荷结构和典型日曲线的影响。验证前应明确区域空间边界、基准年份、规划期范围、重点行业范围及重大项目统计边界，避免不同数据源统计口径不一致。</w:t>
      </w:r>
    </w:p>
    <w:p>
      <w:pPr>
        <w:pStyle w:val="Style5"/>
        <w:rPr/>
      </w:pPr>
      <w:r>
        <w:rPr/>
        <w:t>验证重点包括：区域实际数据能否满足模块输入要求；工业发展情景和电气化情景能否反映区域规划边界；相关模型及标准曲线是否适用于该类工业区域；预测结果是否能够合理体现重大项目投产、产业增长和电能替代对负荷规模及曲线形态的影响。</w:t>
      </w:r>
    </w:p>
    <w:p>
      <w:pPr>
        <w:pStyle w:val="Heading3"/>
        <w:ind w:hanging="0" w:start="0" w:end="0"/>
        <w:rPr/>
      </w:pPr>
      <w:r>
        <w:rPr/>
        <w:t>数据准备</w:t>
      </w:r>
    </w:p>
    <w:p>
      <w:pPr>
        <w:pStyle w:val="Style5"/>
        <w:rPr/>
      </w:pPr>
      <w:r>
        <w:rPr/>
        <w:t>工业基地数据按照“能够支撑验证即可、不过度预设字段”的原则组织。实际接入时优先使用区域现有统计和规划资料；若部分数据缺失，应记录缺失项、替代口径及其对验证结论的影响。建议准备的数据类别见表</w:t>
      </w:r>
      <w:r>
        <w:rPr/>
        <w:t>5-2</w:t>
      </w:r>
      <w:r>
        <w:rPr/>
        <w:t>，具体字段和粒度根据典型区域实际数据条件确定。</w:t>
      </w:r>
    </w:p>
    <w:p>
      <w:pPr>
        <w:pStyle w:val="Caption"/>
        <w:jc w:val="center"/>
        <w:rPr/>
      </w:pPr>
      <w:r>
        <w:rPr/>
        <w:t>表</w:t>
      </w:r>
      <w:r>
        <w:rPr/>
        <w:t xml:space="preserve">5-2 </w:t>
      </w:r>
      <w:r>
        <w:rPr/>
        <w:t>高电气化工业基地验证数据准备建议</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48"/>
        <w:gridCol w:w="2948"/>
        <w:gridCol w:w="2948"/>
      </w:tblGrid>
      <w:tr>
        <w:trPr>
          <w:tblHeader w:val="true"/>
          <w:cantSplit w:val="true"/>
        </w:trPr>
        <w:tc>
          <w:tcPr>
            <w:tcW w:w="2948" w:type="dxa"/>
            <w:tcBorders/>
            <w:shd w:fill="F2F2F2"/>
            <w:vAlign w:val="center"/>
          </w:tcPr>
          <w:p>
            <w:pPr>
              <w:pStyle w:val="Style6"/>
              <w:jc w:val="center"/>
              <w:rPr/>
            </w:pPr>
            <w:r>
              <w:rPr/>
              <w:t>数据类别</w:t>
            </w:r>
          </w:p>
        </w:tc>
        <w:tc>
          <w:tcPr>
            <w:tcW w:w="2948" w:type="dxa"/>
            <w:tcBorders/>
            <w:shd w:fill="F2F2F2"/>
            <w:vAlign w:val="center"/>
          </w:tcPr>
          <w:p>
            <w:pPr>
              <w:pStyle w:val="Style6"/>
              <w:jc w:val="center"/>
              <w:rPr/>
            </w:pPr>
            <w:r>
              <w:rPr/>
              <w:t>主要内容</w:t>
            </w:r>
          </w:p>
        </w:tc>
        <w:tc>
          <w:tcPr>
            <w:tcW w:w="2948" w:type="dxa"/>
            <w:tcBorders/>
            <w:shd w:fill="F2F2F2"/>
            <w:vAlign w:val="center"/>
          </w:tcPr>
          <w:p>
            <w:pPr>
              <w:pStyle w:val="Style6"/>
              <w:jc w:val="center"/>
              <w:rPr/>
            </w:pPr>
            <w:r>
              <w:rPr/>
              <w:t>建议粒度</w:t>
            </w:r>
            <w:r>
              <w:rPr/>
              <w:t>/</w:t>
            </w:r>
            <w:r>
              <w:rPr/>
              <w:t>说明</w:t>
            </w:r>
          </w:p>
        </w:tc>
      </w:tr>
      <w:tr>
        <w:trPr>
          <w:cantSplit w:val="true"/>
        </w:trPr>
        <w:tc>
          <w:tcPr>
            <w:tcW w:w="2948" w:type="dxa"/>
            <w:tcBorders/>
            <w:vAlign w:val="center"/>
          </w:tcPr>
          <w:p>
            <w:pPr>
              <w:pStyle w:val="-"/>
              <w:jc w:val="center"/>
              <w:rPr/>
            </w:pPr>
            <w:r>
              <w:rPr/>
              <w:t>历史负荷</w:t>
            </w:r>
          </w:p>
        </w:tc>
        <w:tc>
          <w:tcPr>
            <w:tcW w:w="2948" w:type="dxa"/>
            <w:tcBorders/>
            <w:vAlign w:val="center"/>
          </w:tcPr>
          <w:p>
            <w:pPr>
              <w:pStyle w:val="Style7"/>
              <w:rPr/>
            </w:pPr>
            <w:r>
              <w:rPr/>
              <w:t>年度用电量、最大负荷、历史典型日负荷曲线及必要的分行业负荷信息。</w:t>
            </w:r>
          </w:p>
        </w:tc>
        <w:tc>
          <w:tcPr>
            <w:tcW w:w="2948" w:type="dxa"/>
            <w:tcBorders/>
            <w:vAlign w:val="center"/>
          </w:tcPr>
          <w:p>
            <w:pPr>
              <w:pStyle w:val="Style7"/>
              <w:rPr/>
            </w:pPr>
            <w:r>
              <w:rPr/>
              <w:t>年度</w:t>
            </w:r>
            <w:r>
              <w:rPr/>
              <w:t>+</w:t>
            </w:r>
            <w:r>
              <w:rPr/>
              <w:t>典型日；具备条件时采用小时或</w:t>
            </w:r>
            <w:r>
              <w:rPr/>
              <w:t>15</w:t>
            </w:r>
            <w:r>
              <w:rPr/>
              <w:t>分钟数据</w:t>
            </w:r>
          </w:p>
        </w:tc>
      </w:tr>
      <w:tr>
        <w:trPr>
          <w:cantSplit w:val="true"/>
        </w:trPr>
        <w:tc>
          <w:tcPr>
            <w:tcW w:w="2948" w:type="dxa"/>
            <w:tcBorders/>
            <w:vAlign w:val="center"/>
          </w:tcPr>
          <w:p>
            <w:pPr>
              <w:pStyle w:val="-"/>
              <w:jc w:val="center"/>
              <w:rPr/>
            </w:pPr>
            <w:r>
              <w:rPr/>
              <w:t>产业发展</w:t>
            </w:r>
          </w:p>
        </w:tc>
        <w:tc>
          <w:tcPr>
            <w:tcW w:w="2948" w:type="dxa"/>
            <w:tcBorders/>
            <w:vAlign w:val="center"/>
          </w:tcPr>
          <w:p>
            <w:pPr>
              <w:pStyle w:val="Style7"/>
              <w:rPr/>
            </w:pPr>
            <w:r>
              <w:rPr/>
              <w:t>工业产值、重点行业结构、产业发展目标和重大项目情况。</w:t>
            </w:r>
          </w:p>
        </w:tc>
        <w:tc>
          <w:tcPr>
            <w:tcW w:w="2948" w:type="dxa"/>
            <w:tcBorders/>
            <w:vAlign w:val="center"/>
          </w:tcPr>
          <w:p>
            <w:pPr>
              <w:pStyle w:val="-"/>
              <w:jc w:val="center"/>
              <w:rPr/>
            </w:pPr>
            <w:r>
              <w:rPr/>
              <w:t>年度或项目级</w:t>
            </w:r>
          </w:p>
        </w:tc>
      </w:tr>
      <w:tr>
        <w:trPr>
          <w:cantSplit w:val="true"/>
        </w:trPr>
        <w:tc>
          <w:tcPr>
            <w:tcW w:w="2948" w:type="dxa"/>
            <w:tcBorders/>
            <w:vAlign w:val="center"/>
          </w:tcPr>
          <w:p>
            <w:pPr>
              <w:pStyle w:val="-"/>
              <w:jc w:val="center"/>
              <w:rPr/>
            </w:pPr>
            <w:r>
              <w:rPr/>
              <w:t>电能替代</w:t>
            </w:r>
          </w:p>
        </w:tc>
        <w:tc>
          <w:tcPr>
            <w:tcW w:w="2948" w:type="dxa"/>
            <w:tcBorders/>
            <w:vAlign w:val="center"/>
          </w:tcPr>
          <w:p>
            <w:pPr>
              <w:pStyle w:val="Style7"/>
              <w:rPr/>
            </w:pPr>
            <w:r>
              <w:rPr/>
              <w:t>工业电锅炉</w:t>
            </w:r>
            <w:r>
              <w:rPr/>
              <w:t>/</w:t>
            </w:r>
            <w:r>
              <w:rPr/>
              <w:t>电窑炉、电制氢等项目容量、利用情况及投产计划。</w:t>
            </w:r>
          </w:p>
        </w:tc>
        <w:tc>
          <w:tcPr>
            <w:tcW w:w="2948" w:type="dxa"/>
            <w:tcBorders/>
            <w:vAlign w:val="center"/>
          </w:tcPr>
          <w:p>
            <w:pPr>
              <w:pStyle w:val="-"/>
              <w:jc w:val="center"/>
              <w:rPr/>
            </w:pPr>
            <w:r>
              <w:rPr/>
              <w:t>项目级</w:t>
            </w:r>
            <w:r>
              <w:rPr/>
              <w:t>+</w:t>
            </w:r>
            <w:r>
              <w:rPr/>
              <w:t>年度</w:t>
            </w:r>
          </w:p>
        </w:tc>
      </w:tr>
      <w:tr>
        <w:trPr>
          <w:cantSplit w:val="true"/>
        </w:trPr>
        <w:tc>
          <w:tcPr>
            <w:tcW w:w="2948" w:type="dxa"/>
            <w:tcBorders/>
            <w:vAlign w:val="center"/>
          </w:tcPr>
          <w:p>
            <w:pPr>
              <w:pStyle w:val="-"/>
              <w:jc w:val="center"/>
              <w:rPr/>
            </w:pPr>
            <w:r>
              <w:rPr/>
              <w:t>其他新型负荷</w:t>
            </w:r>
          </w:p>
        </w:tc>
        <w:tc>
          <w:tcPr>
            <w:tcW w:w="2948" w:type="dxa"/>
            <w:tcBorders/>
            <w:vAlign w:val="center"/>
          </w:tcPr>
          <w:p>
            <w:pPr>
              <w:pStyle w:val="Style7"/>
              <w:rPr/>
            </w:pPr>
            <w:r>
              <w:rPr/>
              <w:t>数据中心、储能、虚拟电厂等规模及可获得的典型运行信息。</w:t>
            </w:r>
          </w:p>
        </w:tc>
        <w:tc>
          <w:tcPr>
            <w:tcW w:w="2948" w:type="dxa"/>
            <w:tcBorders/>
            <w:vAlign w:val="center"/>
          </w:tcPr>
          <w:p>
            <w:pPr>
              <w:pStyle w:val="-"/>
              <w:jc w:val="center"/>
              <w:rPr/>
            </w:pPr>
            <w:r>
              <w:rPr/>
              <w:t>年度</w:t>
            </w:r>
            <w:r>
              <w:rPr/>
              <w:t>+</w:t>
            </w:r>
            <w:r>
              <w:rPr/>
              <w:t>典型日</w:t>
            </w:r>
          </w:p>
        </w:tc>
      </w:tr>
      <w:tr>
        <w:trPr>
          <w:cantSplit w:val="true"/>
        </w:trPr>
        <w:tc>
          <w:tcPr>
            <w:tcW w:w="2948" w:type="dxa"/>
            <w:tcBorders/>
            <w:vAlign w:val="center"/>
          </w:tcPr>
          <w:p>
            <w:pPr>
              <w:pStyle w:val="-"/>
              <w:jc w:val="center"/>
              <w:rPr/>
            </w:pPr>
            <w:r>
              <w:rPr/>
              <w:t>气象及环境</w:t>
            </w:r>
          </w:p>
        </w:tc>
        <w:tc>
          <w:tcPr>
            <w:tcW w:w="2948" w:type="dxa"/>
            <w:tcBorders/>
            <w:vAlign w:val="center"/>
          </w:tcPr>
          <w:p>
            <w:pPr>
              <w:pStyle w:val="Style7"/>
              <w:rPr/>
            </w:pPr>
            <w:r>
              <w:rPr/>
              <w:t>温度、极端高温</w:t>
            </w:r>
            <w:r>
              <w:rPr/>
              <w:t>/</w:t>
            </w:r>
            <w:r>
              <w:rPr/>
              <w:t>低温等对工业或区域峰值具有影响的气象信息。</w:t>
            </w:r>
          </w:p>
        </w:tc>
        <w:tc>
          <w:tcPr>
            <w:tcW w:w="2948" w:type="dxa"/>
            <w:tcBorders/>
            <w:vAlign w:val="center"/>
          </w:tcPr>
          <w:p>
            <w:pPr>
              <w:pStyle w:val="-"/>
              <w:jc w:val="center"/>
              <w:rPr/>
            </w:pPr>
            <w:r>
              <w:rPr/>
              <w:t>日、小时或典型气象参数</w:t>
            </w:r>
          </w:p>
        </w:tc>
      </w:tr>
      <w:tr>
        <w:trPr>
          <w:cantSplit w:val="true"/>
        </w:trPr>
        <w:tc>
          <w:tcPr>
            <w:tcW w:w="2948" w:type="dxa"/>
            <w:tcBorders/>
            <w:vAlign w:val="center"/>
          </w:tcPr>
          <w:p>
            <w:pPr>
              <w:pStyle w:val="-"/>
              <w:jc w:val="center"/>
              <w:rPr/>
            </w:pPr>
            <w:r>
              <w:rPr/>
              <w:t>规划边界</w:t>
            </w:r>
          </w:p>
        </w:tc>
        <w:tc>
          <w:tcPr>
            <w:tcW w:w="2948" w:type="dxa"/>
            <w:tcBorders/>
            <w:vAlign w:val="center"/>
          </w:tcPr>
          <w:p>
            <w:pPr>
              <w:pStyle w:val="Style7"/>
              <w:rPr/>
            </w:pPr>
            <w:r>
              <w:rPr/>
              <w:t>已知重大项目投产时序、产业规划目标、电气化目标及其他可用于校核的规划信息。</w:t>
            </w:r>
          </w:p>
        </w:tc>
        <w:tc>
          <w:tcPr>
            <w:tcW w:w="2948" w:type="dxa"/>
            <w:tcBorders/>
            <w:vAlign w:val="center"/>
          </w:tcPr>
          <w:p>
            <w:pPr>
              <w:pStyle w:val="-"/>
              <w:jc w:val="center"/>
              <w:rPr/>
            </w:pPr>
            <w:r>
              <w:rPr/>
              <w:t>年度或阶段性规划目标</w:t>
            </w:r>
          </w:p>
        </w:tc>
      </w:tr>
    </w:tbl>
    <w:p>
      <w:pPr>
        <w:pStyle w:val="Heading3"/>
        <w:ind w:hanging="0" w:start="0" w:end="0"/>
        <w:rPr/>
      </w:pPr>
      <w:r>
        <w:rPr/>
        <w:t>情景与模型适用性配置</w:t>
      </w:r>
    </w:p>
    <w:p>
      <w:pPr>
        <w:pStyle w:val="Style5"/>
        <w:rPr/>
      </w:pPr>
      <w:r>
        <w:rPr/>
        <w:t>情景配置重点考虑产业增速、工业电气化水平、工业电能替代项目投产规模、数据中心和电制氢发展水平、碳约束强度等因素。三类标准情景可在课题</w:t>
      </w:r>
      <w:r>
        <w:rPr/>
        <w:t>3</w:t>
      </w:r>
      <w:r>
        <w:rPr/>
        <w:t>成果基础上结合区域规划边界进行个性化配置，但参数调整应记录来源、依据和版本。</w:t>
      </w:r>
    </w:p>
    <w:p>
      <w:pPr>
        <w:pStyle w:val="Style5"/>
        <w:rPr/>
      </w:pPr>
      <w:r>
        <w:rPr/>
        <w:t>模型适用性检查重点确认模型所需输入是否具备、适用负荷类型与区域是否匹配、模型版本是否完整、运行是否稳定以及输出结构是否满足课题</w:t>
      </w:r>
      <w:r>
        <w:rPr/>
        <w:t>4</w:t>
      </w:r>
      <w:r>
        <w:rPr/>
        <w:t>统一结果要求。前序模型的具体组合方式仍以跨课题确认后的成果为准，典型区域验证不提前固化其他承担单位的模型实现。</w:t>
      </w:r>
    </w:p>
    <w:p>
      <w:pPr>
        <w:pStyle w:val="Heading3"/>
        <w:ind w:hanging="0" w:start="0" w:end="0"/>
        <w:rPr/>
      </w:pPr>
      <w:r>
        <w:rPr/>
        <w:t>结果分析与校准</w:t>
      </w:r>
    </w:p>
    <w:p>
      <w:pPr>
        <w:pStyle w:val="Style5"/>
        <w:rPr/>
      </w:pPr>
      <w:r>
        <w:rPr/>
        <w:t>预测结果应覆盖区域年度用电量、年度最大负荷、负荷结构、主要新型负荷发展结果、典型日曲线以及不同情景之间的差异。重点分析最大负荷增长是否与工业发展趋势相匹配，重大项目投产是否在相应年份形成合理增量，新型负荷占比变化是否符合产业发展逻辑，典型日曲线是否体现工业负荷运行特征。</w:t>
      </w:r>
    </w:p>
    <w:p>
      <w:pPr>
        <w:pStyle w:val="Style5"/>
        <w:rPr/>
      </w:pPr>
      <w:r>
        <w:rPr/>
        <w:t>对于历史回溯偏差较大、趋势异常或规划边界不一致的结果，应区分数据、情景参数、模型适用性和曲线资源等原因开展校准。校准完成后重新运行预测，保留校准前后两个结果版本并形成差异说明。</w:t>
      </w:r>
    </w:p>
    <w:p>
      <w:pPr>
        <w:pStyle w:val="Heading2"/>
        <w:ind w:hanging="0" w:start="0" w:end="0"/>
        <w:rPr/>
      </w:pPr>
      <w:bookmarkStart w:id="28" w:name="__RefHeading___Toc5664_1700276777"/>
      <w:bookmarkEnd w:id="28"/>
      <w:r>
        <w:rPr/>
        <w:t>电动汽车高渗透率城市验证</w:t>
      </w:r>
    </w:p>
    <w:p>
      <w:pPr>
        <w:pStyle w:val="Heading3"/>
        <w:ind w:hanging="0" w:start="0" w:end="0"/>
        <w:rPr/>
      </w:pPr>
      <w:r>
        <w:rPr/>
        <w:t>验证重点与区域边界</w:t>
      </w:r>
    </w:p>
    <w:p>
      <w:pPr>
        <w:pStyle w:val="Style5"/>
        <w:rPr/>
      </w:pPr>
      <w:r>
        <w:rPr/>
        <w:t>电动汽车高渗透率城市验证重点关注电动汽车保有量增长、充电设施规模与结构、工作日</w:t>
      </w:r>
      <w:r>
        <w:rPr/>
        <w:t>/</w:t>
      </w:r>
      <w:r>
        <w:rPr/>
        <w:t>非工作日差异、气象条件、有序充电和价格引导等因素对城市充电负荷峰值、典型曲线及城市总负荷的影响。验证前应明确城市或区域统计边界、充电负荷覆盖范围、数据聚合口径和预测周期。</w:t>
      </w:r>
    </w:p>
    <w:p>
      <w:pPr>
        <w:pStyle w:val="Style5"/>
        <w:rPr/>
      </w:pPr>
      <w:r>
        <w:rPr/>
        <w:t>验证重点包括电动汽车模型输入与实际区域数据的适配性、月度或年度最大充电负荷发展趋势、工作日与非工作日典型</w:t>
      </w:r>
      <w:r>
        <w:rPr/>
        <w:t>96</w:t>
      </w:r>
      <w:r>
        <w:rPr/>
        <w:t>点曲线、预测区间以及不同充电引导情景下负荷峰谷变化。</w:t>
      </w:r>
    </w:p>
    <w:p>
      <w:pPr>
        <w:pStyle w:val="Heading3"/>
        <w:ind w:hanging="0" w:start="0" w:end="0"/>
        <w:rPr/>
      </w:pPr>
      <w:r>
        <w:rPr/>
        <w:t>数据准备</w:t>
      </w:r>
    </w:p>
    <w:p>
      <w:pPr>
        <w:pStyle w:val="Style5"/>
        <w:rPr/>
      </w:pPr>
      <w:r>
        <w:rPr/>
        <w:t>电动汽车验证优先采用能够直接反映区域充电负荷规模和曲线形态的数据。订单、</w:t>
      </w:r>
      <w:r>
        <w:rPr/>
        <w:t>SOC</w:t>
      </w:r>
      <w:r>
        <w:rPr/>
        <w:t>等细粒度行为数据仅在实际可获得且用于解释或校准时纳入，不作为所有区域均必须具备的前置条件。建议准备的数据类别见表</w:t>
      </w:r>
      <w:r>
        <w:rPr/>
        <w:t>5-3</w:t>
      </w:r>
      <w:r>
        <w:rPr/>
        <w:t>。</w:t>
      </w:r>
    </w:p>
    <w:p>
      <w:pPr>
        <w:pStyle w:val="Caption"/>
        <w:jc w:val="center"/>
        <w:rPr/>
      </w:pPr>
      <w:r>
        <w:rPr/>
        <w:t>表</w:t>
      </w:r>
      <w:r>
        <w:rPr/>
        <w:t xml:space="preserve">5-3 </w:t>
      </w:r>
      <w:r>
        <w:rPr/>
        <w:t>电动汽车高渗透率城市验证数据准备建议</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48"/>
        <w:gridCol w:w="2948"/>
        <w:gridCol w:w="2948"/>
      </w:tblGrid>
      <w:tr>
        <w:trPr>
          <w:tblHeader w:val="true"/>
          <w:cantSplit w:val="true"/>
        </w:trPr>
        <w:tc>
          <w:tcPr>
            <w:tcW w:w="2948" w:type="dxa"/>
            <w:tcBorders/>
            <w:shd w:fill="F2F2F2"/>
            <w:vAlign w:val="center"/>
          </w:tcPr>
          <w:p>
            <w:pPr>
              <w:pStyle w:val="Style6"/>
              <w:jc w:val="center"/>
              <w:rPr/>
            </w:pPr>
            <w:r>
              <w:rPr/>
              <w:t>数据类别</w:t>
            </w:r>
          </w:p>
        </w:tc>
        <w:tc>
          <w:tcPr>
            <w:tcW w:w="2948" w:type="dxa"/>
            <w:tcBorders/>
            <w:shd w:fill="F2F2F2"/>
            <w:vAlign w:val="center"/>
          </w:tcPr>
          <w:p>
            <w:pPr>
              <w:pStyle w:val="Style6"/>
              <w:jc w:val="center"/>
              <w:rPr/>
            </w:pPr>
            <w:r>
              <w:rPr/>
              <w:t>主要内容</w:t>
            </w:r>
          </w:p>
        </w:tc>
        <w:tc>
          <w:tcPr>
            <w:tcW w:w="2948" w:type="dxa"/>
            <w:tcBorders/>
            <w:shd w:fill="F2F2F2"/>
            <w:vAlign w:val="center"/>
          </w:tcPr>
          <w:p>
            <w:pPr>
              <w:pStyle w:val="Style6"/>
              <w:jc w:val="center"/>
              <w:rPr/>
            </w:pPr>
            <w:r>
              <w:rPr/>
              <w:t>建议粒度</w:t>
            </w:r>
            <w:r>
              <w:rPr/>
              <w:t>/</w:t>
            </w:r>
            <w:r>
              <w:rPr/>
              <w:t>说明</w:t>
            </w:r>
          </w:p>
        </w:tc>
      </w:tr>
      <w:tr>
        <w:trPr>
          <w:cantSplit w:val="true"/>
        </w:trPr>
        <w:tc>
          <w:tcPr>
            <w:tcW w:w="2948" w:type="dxa"/>
            <w:tcBorders/>
            <w:vAlign w:val="center"/>
          </w:tcPr>
          <w:p>
            <w:pPr>
              <w:pStyle w:val="-"/>
              <w:jc w:val="center"/>
              <w:rPr/>
            </w:pPr>
            <w:r>
              <w:rPr/>
              <w:t>城市</w:t>
            </w:r>
            <w:r>
              <w:rPr/>
              <w:t>/</w:t>
            </w:r>
            <w:r>
              <w:rPr/>
              <w:t>区域负荷</w:t>
            </w:r>
          </w:p>
        </w:tc>
        <w:tc>
          <w:tcPr>
            <w:tcW w:w="2948" w:type="dxa"/>
            <w:tcBorders/>
            <w:vAlign w:val="center"/>
          </w:tcPr>
          <w:p>
            <w:pPr>
              <w:pStyle w:val="Style7"/>
              <w:rPr/>
            </w:pPr>
            <w:r>
              <w:rPr/>
              <w:t>年度用电量、最大负荷以及工作日、非工作日典型负荷曲线。</w:t>
            </w:r>
          </w:p>
        </w:tc>
        <w:tc>
          <w:tcPr>
            <w:tcW w:w="2948" w:type="dxa"/>
            <w:tcBorders/>
            <w:vAlign w:val="center"/>
          </w:tcPr>
          <w:p>
            <w:pPr>
              <w:pStyle w:val="Style7"/>
              <w:rPr/>
            </w:pPr>
            <w:r>
              <w:rPr/>
              <w:t>年度</w:t>
            </w:r>
            <w:r>
              <w:rPr/>
              <w:t>+</w:t>
            </w:r>
            <w:r>
              <w:rPr/>
              <w:t>典型日；具备条件时采用</w:t>
            </w:r>
            <w:r>
              <w:rPr/>
              <w:t>96</w:t>
            </w:r>
            <w:r>
              <w:rPr/>
              <w:t>点数据</w:t>
            </w:r>
          </w:p>
        </w:tc>
      </w:tr>
      <w:tr>
        <w:trPr>
          <w:cantSplit w:val="true"/>
        </w:trPr>
        <w:tc>
          <w:tcPr>
            <w:tcW w:w="2948" w:type="dxa"/>
            <w:tcBorders/>
            <w:vAlign w:val="center"/>
          </w:tcPr>
          <w:p>
            <w:pPr>
              <w:pStyle w:val="-"/>
              <w:jc w:val="center"/>
              <w:rPr/>
            </w:pPr>
            <w:r>
              <w:rPr/>
              <w:t>车辆发展</w:t>
            </w:r>
          </w:p>
        </w:tc>
        <w:tc>
          <w:tcPr>
            <w:tcW w:w="2948" w:type="dxa"/>
            <w:tcBorders/>
            <w:vAlign w:val="center"/>
          </w:tcPr>
          <w:p>
            <w:pPr>
              <w:pStyle w:val="Style7"/>
              <w:rPr/>
            </w:pPr>
            <w:r>
              <w:rPr/>
              <w:t>电动汽车保有量、增长情况、目标年规模或渗透率等。</w:t>
            </w:r>
          </w:p>
        </w:tc>
        <w:tc>
          <w:tcPr>
            <w:tcW w:w="2948" w:type="dxa"/>
            <w:tcBorders/>
            <w:vAlign w:val="center"/>
          </w:tcPr>
          <w:p>
            <w:pPr>
              <w:pStyle w:val="-"/>
              <w:jc w:val="center"/>
              <w:rPr/>
            </w:pPr>
            <w:r>
              <w:rPr/>
              <w:t>月度或年度</w:t>
            </w:r>
          </w:p>
        </w:tc>
      </w:tr>
      <w:tr>
        <w:trPr>
          <w:cantSplit w:val="true"/>
        </w:trPr>
        <w:tc>
          <w:tcPr>
            <w:tcW w:w="2948" w:type="dxa"/>
            <w:tcBorders/>
            <w:vAlign w:val="center"/>
          </w:tcPr>
          <w:p>
            <w:pPr>
              <w:pStyle w:val="-"/>
              <w:jc w:val="center"/>
              <w:rPr/>
            </w:pPr>
            <w:r>
              <w:rPr/>
              <w:t>充电设施</w:t>
            </w:r>
          </w:p>
        </w:tc>
        <w:tc>
          <w:tcPr>
            <w:tcW w:w="2948" w:type="dxa"/>
            <w:tcBorders/>
            <w:vAlign w:val="center"/>
          </w:tcPr>
          <w:p>
            <w:pPr>
              <w:pStyle w:val="Style7"/>
              <w:rPr/>
            </w:pPr>
            <w:r>
              <w:rPr/>
              <w:t>公共</w:t>
            </w:r>
            <w:r>
              <w:rPr/>
              <w:t>/</w:t>
            </w:r>
            <w:r>
              <w:rPr/>
              <w:t>私人充电设施数量、容量、快慢充结构及必要的区域分布信息。</w:t>
            </w:r>
          </w:p>
        </w:tc>
        <w:tc>
          <w:tcPr>
            <w:tcW w:w="2948" w:type="dxa"/>
            <w:tcBorders/>
            <w:vAlign w:val="center"/>
          </w:tcPr>
          <w:p>
            <w:pPr>
              <w:pStyle w:val="-"/>
              <w:jc w:val="center"/>
              <w:rPr/>
            </w:pPr>
            <w:r>
              <w:rPr/>
              <w:t>年度、月度或区域</w:t>
            </w:r>
            <w:r>
              <w:rPr/>
              <w:t>/</w:t>
            </w:r>
            <w:r>
              <w:rPr/>
              <w:t>站点级</w:t>
            </w:r>
          </w:p>
        </w:tc>
      </w:tr>
      <w:tr>
        <w:trPr>
          <w:cantSplit w:val="true"/>
        </w:trPr>
        <w:tc>
          <w:tcPr>
            <w:tcW w:w="2948" w:type="dxa"/>
            <w:tcBorders/>
            <w:vAlign w:val="center"/>
          </w:tcPr>
          <w:p>
            <w:pPr>
              <w:pStyle w:val="-"/>
              <w:jc w:val="center"/>
              <w:rPr/>
            </w:pPr>
            <w:r>
              <w:rPr/>
              <w:t>充电负荷与行为</w:t>
            </w:r>
          </w:p>
        </w:tc>
        <w:tc>
          <w:tcPr>
            <w:tcW w:w="2948" w:type="dxa"/>
            <w:tcBorders/>
            <w:vAlign w:val="center"/>
          </w:tcPr>
          <w:p>
            <w:pPr>
              <w:pStyle w:val="Style7"/>
              <w:rPr/>
            </w:pPr>
            <w:r>
              <w:rPr/>
              <w:t>区域或站点充电负荷</w:t>
            </w:r>
            <w:r>
              <w:rPr/>
              <w:t>96</w:t>
            </w:r>
            <w:r>
              <w:rPr/>
              <w:t>点曲线；具备条件时补充充电起止、持续时间等行为信息。</w:t>
            </w:r>
          </w:p>
        </w:tc>
        <w:tc>
          <w:tcPr>
            <w:tcW w:w="2948" w:type="dxa"/>
            <w:tcBorders/>
            <w:vAlign w:val="center"/>
          </w:tcPr>
          <w:p>
            <w:pPr>
              <w:pStyle w:val="Style7"/>
              <w:rPr/>
            </w:pPr>
            <w:r>
              <w:rPr/>
              <w:t>15</w:t>
            </w:r>
            <w:r>
              <w:rPr/>
              <w:t>分钟</w:t>
            </w:r>
            <w:r>
              <w:rPr/>
              <w:t>/96</w:t>
            </w:r>
            <w:r>
              <w:rPr/>
              <w:t>点；行为数据按可获得程度使用</w:t>
            </w:r>
          </w:p>
        </w:tc>
      </w:tr>
      <w:tr>
        <w:trPr>
          <w:cantSplit w:val="true"/>
        </w:trPr>
        <w:tc>
          <w:tcPr>
            <w:tcW w:w="2948" w:type="dxa"/>
            <w:tcBorders/>
            <w:vAlign w:val="center"/>
          </w:tcPr>
          <w:p>
            <w:pPr>
              <w:pStyle w:val="-"/>
              <w:jc w:val="center"/>
              <w:rPr/>
            </w:pPr>
            <w:r>
              <w:rPr/>
              <w:t>气象与日期</w:t>
            </w:r>
          </w:p>
        </w:tc>
        <w:tc>
          <w:tcPr>
            <w:tcW w:w="2948" w:type="dxa"/>
            <w:tcBorders/>
            <w:vAlign w:val="center"/>
          </w:tcPr>
          <w:p>
            <w:pPr>
              <w:pStyle w:val="Style7"/>
              <w:rPr/>
            </w:pPr>
            <w:r>
              <w:rPr/>
              <w:t>温度、极端天气、工作日</w:t>
            </w:r>
            <w:r>
              <w:rPr/>
              <w:t>/</w:t>
            </w:r>
            <w:r>
              <w:rPr/>
              <w:t>休息日、节假日等影响因素。</w:t>
            </w:r>
          </w:p>
        </w:tc>
        <w:tc>
          <w:tcPr>
            <w:tcW w:w="2948" w:type="dxa"/>
            <w:tcBorders/>
            <w:vAlign w:val="center"/>
          </w:tcPr>
          <w:p>
            <w:pPr>
              <w:pStyle w:val="-"/>
              <w:jc w:val="center"/>
              <w:rPr/>
            </w:pPr>
            <w:r>
              <w:rPr/>
              <w:t>日或</w:t>
            </w:r>
            <w:r>
              <w:rPr/>
              <w:t>15</w:t>
            </w:r>
            <w:r>
              <w:rPr/>
              <w:t>分钟，按模型需要汇总</w:t>
            </w:r>
          </w:p>
        </w:tc>
      </w:tr>
      <w:tr>
        <w:trPr>
          <w:cantSplit w:val="true"/>
        </w:trPr>
        <w:tc>
          <w:tcPr>
            <w:tcW w:w="2948" w:type="dxa"/>
            <w:tcBorders/>
            <w:vAlign w:val="center"/>
          </w:tcPr>
          <w:p>
            <w:pPr>
              <w:pStyle w:val="-"/>
              <w:jc w:val="center"/>
              <w:rPr/>
            </w:pPr>
            <w:r>
              <w:rPr/>
              <w:t>引导及规划边界</w:t>
            </w:r>
          </w:p>
        </w:tc>
        <w:tc>
          <w:tcPr>
            <w:tcW w:w="2948" w:type="dxa"/>
            <w:tcBorders/>
            <w:vAlign w:val="center"/>
          </w:tcPr>
          <w:p>
            <w:pPr>
              <w:pStyle w:val="Style7"/>
              <w:rPr/>
            </w:pPr>
            <w:r>
              <w:rPr/>
              <w:t>峰谷电价、有序充电、</w:t>
            </w:r>
            <w:r>
              <w:rPr/>
              <w:t>V2G</w:t>
            </w:r>
            <w:r>
              <w:rPr/>
              <w:t>等引导条件，以及车辆</w:t>
            </w:r>
            <w:r>
              <w:rPr/>
              <w:t>/</w:t>
            </w:r>
            <w:r>
              <w:rPr/>
              <w:t>充电设施规划目标。</w:t>
            </w:r>
          </w:p>
        </w:tc>
        <w:tc>
          <w:tcPr>
            <w:tcW w:w="2948" w:type="dxa"/>
            <w:tcBorders/>
            <w:vAlign w:val="center"/>
          </w:tcPr>
          <w:p>
            <w:pPr>
              <w:pStyle w:val="Style7"/>
              <w:rPr/>
            </w:pPr>
            <w:r>
              <w:rPr/>
              <w:t>政策参数、情景参数或年度规划目标</w:t>
            </w:r>
          </w:p>
        </w:tc>
      </w:tr>
    </w:tbl>
    <w:p>
      <w:pPr>
        <w:pStyle w:val="Heading3"/>
        <w:ind w:hanging="0" w:start="0" w:end="0"/>
        <w:rPr/>
      </w:pPr>
      <w:r>
        <w:rPr/>
        <w:t>情景与模型适用性配置</w:t>
      </w:r>
    </w:p>
    <w:p>
      <w:pPr>
        <w:pStyle w:val="Style5"/>
        <w:rPr/>
      </w:pPr>
      <w:r>
        <w:rPr/>
        <w:t>情景配置重点考虑电动汽车增长率或目标年规模、充电设施发展水平、快慢充结构、有序充电比例、</w:t>
      </w:r>
      <w:r>
        <w:rPr/>
        <w:t>V2G</w:t>
      </w:r>
      <w:r>
        <w:rPr/>
        <w:t>参与水平及价格引导强度等因素。场景参数应与课题</w:t>
      </w:r>
      <w:r>
        <w:rPr/>
        <w:t>2</w:t>
      </w:r>
      <w:r>
        <w:rPr/>
        <w:t>典型场景、课题</w:t>
      </w:r>
      <w:r>
        <w:rPr/>
        <w:t>3</w:t>
      </w:r>
      <w:r>
        <w:rPr/>
        <w:t>多情景参数体系保持衔接，并根据区域实际情况记录个性化调整。</w:t>
      </w:r>
    </w:p>
    <w:p>
      <w:pPr>
        <w:pStyle w:val="Style5"/>
        <w:rPr/>
      </w:pPr>
      <w:r>
        <w:rPr/>
        <w:t>模型适用性检查重点确认历史充电负荷覆盖、车辆及设施驱动数据、气象或日期信息是否满足模型调用条件，并检查模型输出是否包含课题</w:t>
      </w:r>
      <w:r>
        <w:rPr/>
        <w:t>4</w:t>
      </w:r>
      <w:r>
        <w:rPr/>
        <w:t>需要的峰值、发展趋势、典型曲线和必要的预测区间。</w:t>
      </w:r>
    </w:p>
    <w:p>
      <w:pPr>
        <w:pStyle w:val="Heading3"/>
        <w:ind w:hanging="0" w:start="0" w:end="0"/>
        <w:rPr/>
      </w:pPr>
      <w:r>
        <w:rPr/>
        <w:t>结果分析与校准</w:t>
      </w:r>
    </w:p>
    <w:p>
      <w:pPr>
        <w:pStyle w:val="Style5"/>
        <w:rPr/>
      </w:pPr>
      <w:r>
        <w:rPr/>
        <w:t>预测分析应形成电动汽车充电负荷规模和最大负荷发展结果，并根据可用成果展示工作日</w:t>
      </w:r>
      <w:r>
        <w:rPr/>
        <w:t>/</w:t>
      </w:r>
      <w:r>
        <w:rPr/>
        <w:t>非工作日典型</w:t>
      </w:r>
      <w:r>
        <w:rPr/>
        <w:t>96</w:t>
      </w:r>
      <w:r>
        <w:rPr/>
        <w:t>点曲线及预测区间；在城市综合预测中进一步观察其对城市总负荷峰值、峰谷差和峰值时刻的影响。</w:t>
      </w:r>
    </w:p>
    <w:p>
      <w:pPr>
        <w:pStyle w:val="Style5"/>
        <w:rPr/>
      </w:pPr>
      <w:r>
        <w:rPr/>
        <w:t>结果校准可结合历史实际峰值、典型站点或区域曲线、车辆及充电设施发展边界，重点检查峰值时刻、峰值水平、曲线形态、同时性和有序充电削峰效果等。发现偏差后，应记录原因并按统一版本机制重新计算和对比。</w:t>
      </w:r>
    </w:p>
    <w:p>
      <w:pPr>
        <w:pStyle w:val="Heading2"/>
        <w:ind w:hanging="0" w:start="0" w:end="0"/>
        <w:rPr/>
      </w:pPr>
      <w:bookmarkStart w:id="29" w:name="__RefHeading___Toc5666_1700276777"/>
      <w:bookmarkEnd w:id="29"/>
      <w:r>
        <w:rPr/>
        <w:t>预测结果验证方法</w:t>
      </w:r>
    </w:p>
    <w:p>
      <w:pPr>
        <w:pStyle w:val="Style5"/>
        <w:rPr/>
      </w:pPr>
      <w:r>
        <w:rPr/>
        <w:t>任务</w:t>
      </w:r>
      <w:r>
        <w:rPr/>
        <w:t>1</w:t>
      </w:r>
      <w:r>
        <w:rPr/>
        <w:t>中的预测结果合理性校核主要用于模型运行后的自动基础检查；任务</w:t>
      </w:r>
      <w:r>
        <w:rPr/>
        <w:t>2</w:t>
      </w:r>
      <w:r>
        <w:rPr/>
        <w:t>则面向真实典型区域开展综合验证。考虑</w:t>
      </w:r>
      <w:r>
        <w:rPr/>
        <w:t>3—10</w:t>
      </w:r>
      <w:r>
        <w:rPr/>
        <w:t>年未来实际值在项目实施期内无法完整获得，典型区域验证不能仅依赖未来实际值对比，应综合采用历史回溯、趋势合理性、已知规划边界以及物理与业务合理性等方法。</w:t>
      </w:r>
    </w:p>
    <w:p>
      <w:pPr>
        <w:pStyle w:val="Caption"/>
        <w:jc w:val="center"/>
        <w:rPr/>
      </w:pPr>
      <w:r>
        <w:rPr/>
        <w:t>表</w:t>
      </w:r>
      <w:r>
        <w:rPr/>
        <w:t xml:space="preserve">5-4 </w:t>
      </w:r>
      <w:r>
        <w:rPr/>
        <w:t>典型区域预测结果验证方法</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2211"/>
        <w:gridCol w:w="2211"/>
        <w:gridCol w:w="2210"/>
      </w:tblGrid>
      <w:tr>
        <w:trPr>
          <w:tblHeader w:val="true"/>
          <w:cantSplit w:val="true"/>
        </w:trPr>
        <w:tc>
          <w:tcPr>
            <w:tcW w:w="2211" w:type="dxa"/>
            <w:tcBorders/>
            <w:shd w:fill="F2F2F2"/>
            <w:vAlign w:val="center"/>
          </w:tcPr>
          <w:p>
            <w:pPr>
              <w:pStyle w:val="Style6"/>
              <w:jc w:val="center"/>
              <w:rPr/>
            </w:pPr>
            <w:r>
              <w:rPr/>
              <w:t>验证方法</w:t>
            </w:r>
          </w:p>
        </w:tc>
        <w:tc>
          <w:tcPr>
            <w:tcW w:w="2211" w:type="dxa"/>
            <w:tcBorders/>
            <w:shd w:fill="F2F2F2"/>
            <w:vAlign w:val="center"/>
          </w:tcPr>
          <w:p>
            <w:pPr>
              <w:pStyle w:val="Style6"/>
              <w:jc w:val="center"/>
              <w:rPr/>
            </w:pPr>
            <w:r>
              <w:rPr/>
              <w:t>主要目的</w:t>
            </w:r>
          </w:p>
        </w:tc>
        <w:tc>
          <w:tcPr>
            <w:tcW w:w="2211" w:type="dxa"/>
            <w:tcBorders/>
            <w:shd w:fill="F2F2F2"/>
            <w:vAlign w:val="center"/>
          </w:tcPr>
          <w:p>
            <w:pPr>
              <w:pStyle w:val="Style6"/>
              <w:jc w:val="center"/>
              <w:rPr/>
            </w:pPr>
            <w:r>
              <w:rPr/>
              <w:t>实施方式</w:t>
            </w:r>
          </w:p>
        </w:tc>
        <w:tc>
          <w:tcPr>
            <w:tcW w:w="2210" w:type="dxa"/>
            <w:tcBorders/>
            <w:shd w:fill="F2F2F2"/>
            <w:vAlign w:val="center"/>
          </w:tcPr>
          <w:p>
            <w:pPr>
              <w:pStyle w:val="Style6"/>
              <w:jc w:val="center"/>
              <w:rPr/>
            </w:pPr>
            <w:r>
              <w:rPr/>
              <w:t>主要记录</w:t>
            </w:r>
          </w:p>
        </w:tc>
      </w:tr>
      <w:tr>
        <w:trPr>
          <w:cantSplit w:val="true"/>
        </w:trPr>
        <w:tc>
          <w:tcPr>
            <w:tcW w:w="2211" w:type="dxa"/>
            <w:tcBorders/>
            <w:vAlign w:val="center"/>
          </w:tcPr>
          <w:p>
            <w:pPr>
              <w:pStyle w:val="-"/>
              <w:jc w:val="center"/>
              <w:rPr/>
            </w:pPr>
            <w:r>
              <w:rPr/>
              <w:t>历史回溯验证</w:t>
            </w:r>
          </w:p>
        </w:tc>
        <w:tc>
          <w:tcPr>
            <w:tcW w:w="2211" w:type="dxa"/>
            <w:tcBorders/>
            <w:vAlign w:val="center"/>
          </w:tcPr>
          <w:p>
            <w:pPr>
              <w:pStyle w:val="Style7"/>
              <w:rPr/>
            </w:pPr>
            <w:r>
              <w:rPr/>
              <w:t>检验模型在已发生历史区间中的预测能力。</w:t>
            </w:r>
          </w:p>
        </w:tc>
        <w:tc>
          <w:tcPr>
            <w:tcW w:w="2211" w:type="dxa"/>
            <w:tcBorders/>
            <w:vAlign w:val="center"/>
          </w:tcPr>
          <w:p>
            <w:pPr>
              <w:pStyle w:val="Style7"/>
              <w:rPr/>
            </w:pPr>
            <w:r>
              <w:rPr/>
              <w:t>以历史某一时点作为预测起点，仅使用当时可获得数据预测后续已发生年份，再与实际值比较；具体年份按数据条件确定。</w:t>
            </w:r>
          </w:p>
        </w:tc>
        <w:tc>
          <w:tcPr>
            <w:tcW w:w="2210" w:type="dxa"/>
            <w:tcBorders/>
            <w:vAlign w:val="center"/>
          </w:tcPr>
          <w:p>
            <w:pPr>
              <w:pStyle w:val="Style7"/>
              <w:rPr/>
            </w:pPr>
            <w:r>
              <w:rPr/>
              <w:t>预测值、实际值、误差指标、数据与模型版本</w:t>
            </w:r>
          </w:p>
        </w:tc>
      </w:tr>
      <w:tr>
        <w:trPr>
          <w:cantSplit w:val="true"/>
        </w:trPr>
        <w:tc>
          <w:tcPr>
            <w:tcW w:w="2211" w:type="dxa"/>
            <w:tcBorders/>
            <w:vAlign w:val="center"/>
          </w:tcPr>
          <w:p>
            <w:pPr>
              <w:pStyle w:val="-"/>
              <w:jc w:val="center"/>
              <w:rPr/>
            </w:pPr>
            <w:r>
              <w:rPr/>
              <w:t>趋势合理性验证</w:t>
            </w:r>
          </w:p>
        </w:tc>
        <w:tc>
          <w:tcPr>
            <w:tcW w:w="2211" w:type="dxa"/>
            <w:tcBorders/>
            <w:vAlign w:val="center"/>
          </w:tcPr>
          <w:p>
            <w:pPr>
              <w:pStyle w:val="Style7"/>
              <w:rPr/>
            </w:pPr>
            <w:r>
              <w:rPr/>
              <w:t>判断长期发展方向和情景差异是否符合逻辑。</w:t>
            </w:r>
          </w:p>
        </w:tc>
        <w:tc>
          <w:tcPr>
            <w:tcW w:w="2211" w:type="dxa"/>
            <w:tcBorders/>
            <w:vAlign w:val="center"/>
          </w:tcPr>
          <w:p>
            <w:pPr>
              <w:pStyle w:val="Style7"/>
              <w:rPr/>
            </w:pPr>
            <w:r>
              <w:rPr/>
              <w:t>检查增长趋势、情景排序、年度连续性、结构变化和曲线演化是否存在无依据的突升突降。</w:t>
            </w:r>
          </w:p>
        </w:tc>
        <w:tc>
          <w:tcPr>
            <w:tcW w:w="2210" w:type="dxa"/>
            <w:tcBorders/>
            <w:vAlign w:val="center"/>
          </w:tcPr>
          <w:p>
            <w:pPr>
              <w:pStyle w:val="Style7"/>
              <w:rPr/>
            </w:pPr>
            <w:r>
              <w:rPr/>
              <w:t>异常年份</w:t>
            </w:r>
            <w:r>
              <w:rPr/>
              <w:t>/</w:t>
            </w:r>
            <w:r>
              <w:rPr/>
              <w:t>时段、趋势判断及原因说明</w:t>
            </w:r>
          </w:p>
        </w:tc>
      </w:tr>
      <w:tr>
        <w:trPr>
          <w:cantSplit w:val="true"/>
        </w:trPr>
        <w:tc>
          <w:tcPr>
            <w:tcW w:w="2211" w:type="dxa"/>
            <w:tcBorders/>
            <w:vAlign w:val="center"/>
          </w:tcPr>
          <w:p>
            <w:pPr>
              <w:pStyle w:val="-"/>
              <w:jc w:val="center"/>
              <w:rPr/>
            </w:pPr>
            <w:r>
              <w:rPr/>
              <w:t>已知规划边界校核</w:t>
            </w:r>
          </w:p>
        </w:tc>
        <w:tc>
          <w:tcPr>
            <w:tcW w:w="2211" w:type="dxa"/>
            <w:tcBorders/>
            <w:vAlign w:val="center"/>
          </w:tcPr>
          <w:p>
            <w:pPr>
              <w:pStyle w:val="Style7"/>
              <w:rPr/>
            </w:pPr>
            <w:r>
              <w:rPr/>
              <w:t>检验预测是否与已知发展约束和确定性事件相协调。</w:t>
            </w:r>
          </w:p>
        </w:tc>
        <w:tc>
          <w:tcPr>
            <w:tcW w:w="2211" w:type="dxa"/>
            <w:tcBorders/>
            <w:vAlign w:val="center"/>
          </w:tcPr>
          <w:p>
            <w:pPr>
              <w:pStyle w:val="Style7"/>
              <w:rPr/>
            </w:pPr>
            <w:r>
              <w:rPr/>
              <w:t>利用重大项目投产、产业发展目标、车辆</w:t>
            </w:r>
            <w:r>
              <w:rPr/>
              <w:t>/</w:t>
            </w:r>
            <w:r>
              <w:rPr/>
              <w:t>设施规划目标等已知信息校核关键年份和规模边界。</w:t>
            </w:r>
          </w:p>
        </w:tc>
        <w:tc>
          <w:tcPr>
            <w:tcW w:w="2210" w:type="dxa"/>
            <w:tcBorders/>
            <w:vAlign w:val="center"/>
          </w:tcPr>
          <w:p>
            <w:pPr>
              <w:pStyle w:val="Style7"/>
              <w:rPr/>
            </w:pPr>
            <w:r>
              <w:rPr/>
              <w:t>规划依据、目标年份、预测结果与边界差异</w:t>
            </w:r>
          </w:p>
        </w:tc>
      </w:tr>
      <w:tr>
        <w:trPr>
          <w:cantSplit w:val="true"/>
        </w:trPr>
        <w:tc>
          <w:tcPr>
            <w:tcW w:w="2211" w:type="dxa"/>
            <w:tcBorders/>
            <w:vAlign w:val="center"/>
          </w:tcPr>
          <w:p>
            <w:pPr>
              <w:pStyle w:val="-"/>
              <w:jc w:val="center"/>
              <w:rPr/>
            </w:pPr>
            <w:r>
              <w:rPr/>
              <w:t>物理与业务合理性校核</w:t>
            </w:r>
          </w:p>
        </w:tc>
        <w:tc>
          <w:tcPr>
            <w:tcW w:w="2211" w:type="dxa"/>
            <w:tcBorders/>
            <w:vAlign w:val="center"/>
          </w:tcPr>
          <w:p>
            <w:pPr>
              <w:pStyle w:val="Style7"/>
              <w:rPr/>
            </w:pPr>
            <w:r>
              <w:rPr/>
              <w:t>避免出现明显违背容量、能量或业务规律的结果。</w:t>
            </w:r>
          </w:p>
        </w:tc>
        <w:tc>
          <w:tcPr>
            <w:tcW w:w="2211" w:type="dxa"/>
            <w:tcBorders/>
            <w:vAlign w:val="center"/>
          </w:tcPr>
          <w:p>
            <w:pPr>
              <w:pStyle w:val="Style7"/>
              <w:rPr/>
            </w:pPr>
            <w:r>
              <w:rPr/>
              <w:t>检查峰值容量边界、曲线积分与规模关系、总量与分类型结果一致性、峰值时刻和典型运行规律等。</w:t>
            </w:r>
          </w:p>
        </w:tc>
        <w:tc>
          <w:tcPr>
            <w:tcW w:w="2210" w:type="dxa"/>
            <w:tcBorders/>
            <w:vAlign w:val="center"/>
          </w:tcPr>
          <w:p>
            <w:pPr>
              <w:pStyle w:val="-"/>
              <w:jc w:val="center"/>
              <w:rPr/>
            </w:pPr>
            <w:r>
              <w:rPr/>
              <w:t>校核规则、异常结果、处置说明</w:t>
            </w:r>
          </w:p>
        </w:tc>
      </w:tr>
    </w:tbl>
    <w:p>
      <w:pPr>
        <w:pStyle w:val="Style5"/>
        <w:rPr/>
      </w:pPr>
      <w:r>
        <w:rPr/>
        <w:t>历史回溯的误差指标及其计算口径与第</w:t>
      </w:r>
      <w:r>
        <w:rPr/>
        <w:t>10.5</w:t>
      </w:r>
      <w:r>
        <w:rPr/>
        <w:t>节预测精度指标保持一致，并根据最终数据条件和项目验收口径统一确定。趋势、规划边界和物理业务校核用于补充未来实际值不可获得条件下的可信度判断，不替代后续新增实际数据后的滚动评价。</w:t>
      </w:r>
    </w:p>
    <w:p>
      <w:pPr>
        <w:pStyle w:val="Heading2"/>
        <w:ind w:hanging="0" w:start="0" w:end="0"/>
        <w:rPr/>
      </w:pPr>
      <w:bookmarkStart w:id="30" w:name="__RefHeading___Toc5668_1700276777"/>
      <w:bookmarkEnd w:id="30"/>
      <w:r>
        <w:rPr/>
        <w:t>问题识别、校准与反馈机制</w:t>
      </w:r>
    </w:p>
    <w:p>
      <w:pPr>
        <w:pStyle w:val="Style5"/>
        <w:rPr/>
      </w:pPr>
      <w:r>
        <w:rPr/>
        <w:t>典型区域验证发现的问题按数据、情景、模型以及模块展示与流程四类进行归集。问题处理以“最小必要调整”为原则：能够通过数据补充或口径修正解决的，不直接调整模型；能够通过情景参数校准解决的，不替代前序课题修改基础算法；涉及模型本体或标准曲线方法的问题，应形成清晰反馈并由相应课题共同确认。</w:t>
      </w:r>
    </w:p>
    <w:p>
      <w:pPr>
        <w:pStyle w:val="Caption"/>
        <w:jc w:val="center"/>
        <w:rPr/>
      </w:pPr>
      <w:r>
        <w:rPr/>
        <w:t>表</w:t>
      </w:r>
      <w:r>
        <w:rPr/>
        <w:t xml:space="preserve">5-5 </w:t>
      </w:r>
      <w:r>
        <w:rPr/>
        <w:t>典型区域验证问题识别与反馈方向</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2211"/>
        <w:gridCol w:w="2211"/>
        <w:gridCol w:w="2210"/>
      </w:tblGrid>
      <w:tr>
        <w:trPr>
          <w:tblHeader w:val="true"/>
          <w:cantSplit w:val="true"/>
        </w:trPr>
        <w:tc>
          <w:tcPr>
            <w:tcW w:w="2211" w:type="dxa"/>
            <w:tcBorders/>
            <w:shd w:fill="F2F2F2"/>
            <w:vAlign w:val="center"/>
          </w:tcPr>
          <w:p>
            <w:pPr>
              <w:pStyle w:val="Style6"/>
              <w:jc w:val="center"/>
              <w:rPr/>
            </w:pPr>
            <w:r>
              <w:rPr/>
              <w:t>问题类型</w:t>
            </w:r>
          </w:p>
        </w:tc>
        <w:tc>
          <w:tcPr>
            <w:tcW w:w="2211" w:type="dxa"/>
            <w:tcBorders/>
            <w:shd w:fill="F2F2F2"/>
            <w:vAlign w:val="center"/>
          </w:tcPr>
          <w:p>
            <w:pPr>
              <w:pStyle w:val="Style6"/>
              <w:jc w:val="center"/>
              <w:rPr/>
            </w:pPr>
            <w:r>
              <w:rPr/>
              <w:t>典型表现</w:t>
            </w:r>
          </w:p>
        </w:tc>
        <w:tc>
          <w:tcPr>
            <w:tcW w:w="2211" w:type="dxa"/>
            <w:tcBorders/>
            <w:shd w:fill="F2F2F2"/>
            <w:vAlign w:val="center"/>
          </w:tcPr>
          <w:p>
            <w:pPr>
              <w:pStyle w:val="Style6"/>
              <w:jc w:val="center"/>
              <w:rPr/>
            </w:pPr>
            <w:r>
              <w:rPr/>
              <w:t>校准或处置方式</w:t>
            </w:r>
          </w:p>
        </w:tc>
        <w:tc>
          <w:tcPr>
            <w:tcW w:w="2210" w:type="dxa"/>
            <w:tcBorders/>
            <w:shd w:fill="F2F2F2"/>
            <w:vAlign w:val="center"/>
          </w:tcPr>
          <w:p>
            <w:pPr>
              <w:pStyle w:val="Style6"/>
              <w:jc w:val="center"/>
              <w:rPr/>
            </w:pPr>
            <w:r>
              <w:rPr/>
              <w:t>主要反馈方向</w:t>
            </w:r>
          </w:p>
        </w:tc>
      </w:tr>
      <w:tr>
        <w:trPr>
          <w:cantSplit w:val="true"/>
        </w:trPr>
        <w:tc>
          <w:tcPr>
            <w:tcW w:w="2211" w:type="dxa"/>
            <w:tcBorders/>
            <w:vAlign w:val="center"/>
          </w:tcPr>
          <w:p>
            <w:pPr>
              <w:pStyle w:val="-"/>
              <w:jc w:val="center"/>
              <w:rPr/>
            </w:pPr>
            <w:r>
              <w:rPr/>
              <w:t>数据问题</w:t>
            </w:r>
          </w:p>
        </w:tc>
        <w:tc>
          <w:tcPr>
            <w:tcW w:w="2211" w:type="dxa"/>
            <w:tcBorders/>
            <w:vAlign w:val="center"/>
          </w:tcPr>
          <w:p>
            <w:pPr>
              <w:pStyle w:val="Style7"/>
              <w:rPr/>
            </w:pPr>
            <w:r>
              <w:rPr/>
              <w:t>字段缺失、粒度不一致、覆盖不足、统计口径冲突或异常值较多。</w:t>
            </w:r>
          </w:p>
        </w:tc>
        <w:tc>
          <w:tcPr>
            <w:tcW w:w="2211" w:type="dxa"/>
            <w:tcBorders/>
            <w:vAlign w:val="center"/>
          </w:tcPr>
          <w:p>
            <w:pPr>
              <w:pStyle w:val="Style7"/>
              <w:rPr/>
            </w:pPr>
            <w:r>
              <w:rPr/>
              <w:t>补充数据、调整映射、明确替代口径、增加质量标识或完善导入规则。</w:t>
            </w:r>
          </w:p>
        </w:tc>
        <w:tc>
          <w:tcPr>
            <w:tcW w:w="2210" w:type="dxa"/>
            <w:tcBorders/>
            <w:vAlign w:val="center"/>
          </w:tcPr>
          <w:p>
            <w:pPr>
              <w:pStyle w:val="Style7"/>
              <w:rPr/>
            </w:pPr>
            <w:r>
              <w:rPr/>
              <w:t>数据模板、数据检查规则和数据说明</w:t>
            </w:r>
          </w:p>
        </w:tc>
      </w:tr>
      <w:tr>
        <w:trPr>
          <w:cantSplit w:val="true"/>
        </w:trPr>
        <w:tc>
          <w:tcPr>
            <w:tcW w:w="2211" w:type="dxa"/>
            <w:tcBorders/>
            <w:vAlign w:val="center"/>
          </w:tcPr>
          <w:p>
            <w:pPr>
              <w:pStyle w:val="-"/>
              <w:jc w:val="center"/>
              <w:rPr/>
            </w:pPr>
            <w:r>
              <w:rPr/>
              <w:t>情景问题</w:t>
            </w:r>
          </w:p>
        </w:tc>
        <w:tc>
          <w:tcPr>
            <w:tcW w:w="2211" w:type="dxa"/>
            <w:tcBorders/>
            <w:vAlign w:val="center"/>
          </w:tcPr>
          <w:p>
            <w:pPr>
              <w:pStyle w:val="Style7"/>
              <w:rPr/>
            </w:pPr>
            <w:r>
              <w:rPr/>
              <w:t>默认参数与区域规划不符，三类情景差异过小</w:t>
            </w:r>
            <w:r>
              <w:rPr/>
              <w:t>/</w:t>
            </w:r>
            <w:r>
              <w:rPr/>
              <w:t>过大或关键项目未体现。</w:t>
            </w:r>
          </w:p>
        </w:tc>
        <w:tc>
          <w:tcPr>
            <w:tcW w:w="2211" w:type="dxa"/>
            <w:tcBorders/>
            <w:vAlign w:val="center"/>
          </w:tcPr>
          <w:p>
            <w:pPr>
              <w:pStyle w:val="Style7"/>
              <w:rPr/>
            </w:pPr>
            <w:r>
              <w:rPr/>
              <w:t>依据区域规划和已知边界调整参数、合理区间或情景配置。</w:t>
            </w:r>
          </w:p>
        </w:tc>
        <w:tc>
          <w:tcPr>
            <w:tcW w:w="2210" w:type="dxa"/>
            <w:tcBorders/>
            <w:vAlign w:val="center"/>
          </w:tcPr>
          <w:p>
            <w:pPr>
              <w:pStyle w:val="Style7"/>
              <w:rPr/>
            </w:pPr>
            <w:r>
              <w:rPr/>
              <w:t>情景默认值、参数边界和区域配置</w:t>
            </w:r>
          </w:p>
        </w:tc>
      </w:tr>
      <w:tr>
        <w:trPr>
          <w:cantSplit w:val="true"/>
        </w:trPr>
        <w:tc>
          <w:tcPr>
            <w:tcW w:w="2211" w:type="dxa"/>
            <w:tcBorders/>
            <w:vAlign w:val="center"/>
          </w:tcPr>
          <w:p>
            <w:pPr>
              <w:pStyle w:val="-"/>
              <w:jc w:val="center"/>
              <w:rPr/>
            </w:pPr>
            <w:r>
              <w:rPr/>
              <w:t>模型</w:t>
            </w:r>
            <w:r>
              <w:rPr/>
              <w:t>/</w:t>
            </w:r>
            <w:r>
              <w:rPr/>
              <w:t>曲线问题</w:t>
            </w:r>
          </w:p>
        </w:tc>
        <w:tc>
          <w:tcPr>
            <w:tcW w:w="2211" w:type="dxa"/>
            <w:tcBorders/>
            <w:vAlign w:val="center"/>
          </w:tcPr>
          <w:p>
            <w:pPr>
              <w:pStyle w:val="Style7"/>
              <w:rPr/>
            </w:pPr>
            <w:r>
              <w:rPr/>
              <w:t>模型输入条件不满足、运行不稳定、结果偏差持续存在或曲线形态不适配。</w:t>
            </w:r>
          </w:p>
        </w:tc>
        <w:tc>
          <w:tcPr>
            <w:tcW w:w="2211" w:type="dxa"/>
            <w:tcBorders/>
            <w:vAlign w:val="center"/>
          </w:tcPr>
          <w:p>
            <w:pPr>
              <w:pStyle w:val="Style7"/>
              <w:rPr/>
            </w:pPr>
            <w:r>
              <w:rPr/>
              <w:t>检查模型适用范围和参数；必要时形成跨课题问题单，由成果来源课题确认调整方案。</w:t>
            </w:r>
          </w:p>
        </w:tc>
        <w:tc>
          <w:tcPr>
            <w:tcW w:w="2210" w:type="dxa"/>
            <w:tcBorders/>
            <w:vAlign w:val="center"/>
          </w:tcPr>
          <w:p>
            <w:pPr>
              <w:pStyle w:val="Style7"/>
              <w:rPr/>
            </w:pPr>
            <w:r>
              <w:rPr/>
              <w:t>模型接口、适用范围、参数及标准曲线选择规则</w:t>
            </w:r>
          </w:p>
        </w:tc>
      </w:tr>
      <w:tr>
        <w:trPr>
          <w:cantSplit w:val="true"/>
        </w:trPr>
        <w:tc>
          <w:tcPr>
            <w:tcW w:w="2211" w:type="dxa"/>
            <w:tcBorders/>
            <w:vAlign w:val="center"/>
          </w:tcPr>
          <w:p>
            <w:pPr>
              <w:pStyle w:val="-"/>
              <w:jc w:val="center"/>
              <w:rPr/>
            </w:pPr>
            <w:r>
              <w:rPr/>
              <w:t>展示与流程问题</w:t>
            </w:r>
          </w:p>
        </w:tc>
        <w:tc>
          <w:tcPr>
            <w:tcW w:w="2211" w:type="dxa"/>
            <w:tcBorders/>
            <w:vAlign w:val="center"/>
          </w:tcPr>
          <w:p>
            <w:pPr>
              <w:pStyle w:val="Style7"/>
              <w:rPr/>
            </w:pPr>
            <w:r>
              <w:rPr/>
              <w:t>结果含义不清、页面操作繁琐、关键对比不足或报告表达不适用。</w:t>
            </w:r>
          </w:p>
        </w:tc>
        <w:tc>
          <w:tcPr>
            <w:tcW w:w="2211" w:type="dxa"/>
            <w:tcBorders/>
            <w:vAlign w:val="center"/>
          </w:tcPr>
          <w:p>
            <w:pPr>
              <w:pStyle w:val="Style7"/>
              <w:rPr/>
            </w:pPr>
            <w:r>
              <w:rPr/>
              <w:t>调整页面信息组织、对比方式、提示信息和成果模板。</w:t>
            </w:r>
          </w:p>
        </w:tc>
        <w:tc>
          <w:tcPr>
            <w:tcW w:w="2210" w:type="dxa"/>
            <w:tcBorders/>
            <w:vAlign w:val="center"/>
          </w:tcPr>
          <w:p>
            <w:pPr>
              <w:pStyle w:val="-"/>
              <w:jc w:val="center"/>
              <w:rPr/>
            </w:pPr>
            <w:r>
              <w:rPr/>
              <w:t>软件页面、交互流程和报告模板</w:t>
            </w:r>
          </w:p>
        </w:tc>
      </w:tr>
    </w:tbl>
    <w:p>
      <w:pPr>
        <w:pStyle w:val="Style5"/>
        <w:rPr/>
      </w:pPr>
      <w:r>
        <w:rPr/>
        <w:t>每次校准应记录问题来源、调整对象、调整依据和责任环节，并通过“校准前结果版本—调整记录—校准后结果版本”形成对比。验证结论既应说明模块是否具备当前区域应用条件，也应明确仍需由前序课题或后续研发解决的遗留问题。</w:t>
      </w:r>
    </w:p>
    <w:p>
      <w:pPr>
        <w:pStyle w:val="Heading2"/>
        <w:ind w:hanging="0" w:start="0" w:end="0"/>
        <w:rPr/>
      </w:pPr>
      <w:bookmarkStart w:id="31" w:name="__RefHeading___Toc5670_1700276777"/>
      <w:bookmarkEnd w:id="31"/>
      <w:r>
        <w:rPr/>
        <w:t>典型区域验证成果</w:t>
      </w:r>
    </w:p>
    <w:p>
      <w:pPr>
        <w:pStyle w:val="Style5"/>
        <w:rPr/>
      </w:pPr>
      <w:r>
        <w:rPr/>
        <w:t>典型区域验证阶段不在当前方案中提前固化所有通过阈值，而是先明确必须形成的验证记录和成果对象；具体指标阈值根据典型区域数据条件、前序课题最终成果和项目验收要求统一确定。两类典型区域原则上应形成表</w:t>
      </w:r>
      <w:r>
        <w:rPr/>
        <w:t>5-6</w:t>
      </w:r>
      <w:r>
        <w:rPr/>
        <w:t>所列成果。</w:t>
      </w:r>
    </w:p>
    <w:p>
      <w:pPr>
        <w:pStyle w:val="Caption"/>
        <w:jc w:val="center"/>
        <w:rPr/>
      </w:pPr>
      <w:r>
        <w:rPr/>
        <w:t>表</w:t>
      </w:r>
      <w:r>
        <w:rPr/>
        <w:t xml:space="preserve">5-6 </w:t>
      </w:r>
      <w:r>
        <w:rPr/>
        <w:t>典型区域验证成果清单</w:t>
      </w:r>
    </w:p>
    <w:tbl>
      <w:tblPr>
        <w:tblStyle w:val="TableGrid"/>
        <w:tblW w:w="88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48"/>
        <w:gridCol w:w="2948"/>
        <w:gridCol w:w="2948"/>
      </w:tblGrid>
      <w:tr>
        <w:trPr>
          <w:tblHeader w:val="true"/>
          <w:cantSplit w:val="true"/>
        </w:trPr>
        <w:tc>
          <w:tcPr>
            <w:tcW w:w="2948" w:type="dxa"/>
            <w:tcBorders/>
            <w:shd w:fill="F2F2F2"/>
            <w:vAlign w:val="center"/>
          </w:tcPr>
          <w:p>
            <w:pPr>
              <w:pStyle w:val="Style6"/>
              <w:jc w:val="center"/>
              <w:rPr/>
            </w:pPr>
            <w:r>
              <w:rPr/>
              <w:t>序号</w:t>
            </w:r>
          </w:p>
        </w:tc>
        <w:tc>
          <w:tcPr>
            <w:tcW w:w="2948" w:type="dxa"/>
            <w:tcBorders/>
            <w:shd w:fill="F2F2F2"/>
            <w:vAlign w:val="center"/>
          </w:tcPr>
          <w:p>
            <w:pPr>
              <w:pStyle w:val="Style6"/>
              <w:jc w:val="center"/>
              <w:rPr/>
            </w:pPr>
            <w:r>
              <w:rPr/>
              <w:t>成果对象</w:t>
            </w:r>
          </w:p>
        </w:tc>
        <w:tc>
          <w:tcPr>
            <w:tcW w:w="2948" w:type="dxa"/>
            <w:tcBorders/>
            <w:shd w:fill="F2F2F2"/>
            <w:vAlign w:val="center"/>
          </w:tcPr>
          <w:p>
            <w:pPr>
              <w:pStyle w:val="Style6"/>
              <w:jc w:val="center"/>
              <w:rPr/>
            </w:pPr>
            <w:r>
              <w:rPr/>
              <w:t>主要内容</w:t>
            </w:r>
          </w:p>
        </w:tc>
      </w:tr>
      <w:tr>
        <w:trPr>
          <w:cantSplit w:val="true"/>
        </w:trPr>
        <w:tc>
          <w:tcPr>
            <w:tcW w:w="2948" w:type="dxa"/>
            <w:tcBorders/>
            <w:vAlign w:val="center"/>
          </w:tcPr>
          <w:p>
            <w:pPr>
              <w:pStyle w:val="-"/>
              <w:jc w:val="center"/>
              <w:rPr/>
            </w:pPr>
            <w:r>
              <w:rPr/>
              <w:t>1</w:t>
            </w:r>
          </w:p>
        </w:tc>
        <w:tc>
          <w:tcPr>
            <w:tcW w:w="2948" w:type="dxa"/>
            <w:tcBorders/>
            <w:vAlign w:val="center"/>
          </w:tcPr>
          <w:p>
            <w:pPr>
              <w:pStyle w:val="Style7"/>
              <w:rPr/>
            </w:pPr>
            <w:r>
              <w:rPr/>
              <w:t>区域数据适配记录</w:t>
            </w:r>
          </w:p>
        </w:tc>
        <w:tc>
          <w:tcPr>
            <w:tcW w:w="2948" w:type="dxa"/>
            <w:tcBorders/>
            <w:vAlign w:val="center"/>
          </w:tcPr>
          <w:p>
            <w:pPr>
              <w:pStyle w:val="Style7"/>
              <w:rPr/>
            </w:pPr>
            <w:r>
              <w:rPr/>
              <w:t>记录区域数据来源、覆盖范围、粒度、缺失情况、替代口径和模板适配结果。</w:t>
            </w:r>
          </w:p>
        </w:tc>
      </w:tr>
      <w:tr>
        <w:trPr>
          <w:cantSplit w:val="true"/>
        </w:trPr>
        <w:tc>
          <w:tcPr>
            <w:tcW w:w="2948" w:type="dxa"/>
            <w:tcBorders/>
            <w:vAlign w:val="center"/>
          </w:tcPr>
          <w:p>
            <w:pPr>
              <w:pStyle w:val="-"/>
              <w:jc w:val="center"/>
              <w:rPr/>
            </w:pPr>
            <w:r>
              <w:rPr/>
              <w:t>2</w:t>
            </w:r>
          </w:p>
        </w:tc>
        <w:tc>
          <w:tcPr>
            <w:tcW w:w="2948" w:type="dxa"/>
            <w:tcBorders/>
            <w:vAlign w:val="center"/>
          </w:tcPr>
          <w:p>
            <w:pPr>
              <w:pStyle w:val="Style7"/>
              <w:rPr/>
            </w:pPr>
            <w:r>
              <w:rPr/>
              <w:t>情景配置记录</w:t>
            </w:r>
          </w:p>
        </w:tc>
        <w:tc>
          <w:tcPr>
            <w:tcW w:w="2948" w:type="dxa"/>
            <w:tcBorders/>
            <w:vAlign w:val="center"/>
          </w:tcPr>
          <w:p>
            <w:pPr>
              <w:pStyle w:val="Style7"/>
              <w:rPr/>
            </w:pPr>
            <w:r>
              <w:rPr/>
              <w:t>形成基准、低碳约束、强碳约束情景及区域个性化参数配置和版本。</w:t>
            </w:r>
          </w:p>
        </w:tc>
      </w:tr>
      <w:tr>
        <w:trPr>
          <w:cantSplit w:val="true"/>
        </w:trPr>
        <w:tc>
          <w:tcPr>
            <w:tcW w:w="2948" w:type="dxa"/>
            <w:tcBorders/>
            <w:vAlign w:val="center"/>
          </w:tcPr>
          <w:p>
            <w:pPr>
              <w:pStyle w:val="-"/>
              <w:jc w:val="center"/>
              <w:rPr/>
            </w:pPr>
            <w:r>
              <w:rPr/>
              <w:t>3</w:t>
            </w:r>
          </w:p>
        </w:tc>
        <w:tc>
          <w:tcPr>
            <w:tcW w:w="2948" w:type="dxa"/>
            <w:tcBorders/>
            <w:vAlign w:val="center"/>
          </w:tcPr>
          <w:p>
            <w:pPr>
              <w:pStyle w:val="Style7"/>
              <w:rPr/>
            </w:pPr>
            <w:r>
              <w:rPr/>
              <w:t>模型适用性与运行记录</w:t>
            </w:r>
          </w:p>
        </w:tc>
        <w:tc>
          <w:tcPr>
            <w:tcW w:w="2948" w:type="dxa"/>
            <w:tcBorders/>
            <w:vAlign w:val="center"/>
          </w:tcPr>
          <w:p>
            <w:pPr>
              <w:pStyle w:val="Style7"/>
              <w:rPr/>
            </w:pPr>
            <w:r>
              <w:rPr/>
              <w:t>记录模型</w:t>
            </w:r>
            <w:r>
              <w:rPr/>
              <w:t>/</w:t>
            </w:r>
            <w:r>
              <w:rPr/>
              <w:t>曲线资源版本、输入条件、调用状态、异常和适用性判断。</w:t>
            </w:r>
          </w:p>
        </w:tc>
      </w:tr>
      <w:tr>
        <w:trPr>
          <w:cantSplit w:val="true"/>
        </w:trPr>
        <w:tc>
          <w:tcPr>
            <w:tcW w:w="2948" w:type="dxa"/>
            <w:tcBorders/>
            <w:vAlign w:val="center"/>
          </w:tcPr>
          <w:p>
            <w:pPr>
              <w:pStyle w:val="-"/>
              <w:jc w:val="center"/>
              <w:rPr/>
            </w:pPr>
            <w:r>
              <w:rPr/>
              <w:t>4</w:t>
            </w:r>
          </w:p>
        </w:tc>
        <w:tc>
          <w:tcPr>
            <w:tcW w:w="2948" w:type="dxa"/>
            <w:tcBorders/>
            <w:vAlign w:val="center"/>
          </w:tcPr>
          <w:p>
            <w:pPr>
              <w:pStyle w:val="Style7"/>
              <w:rPr/>
            </w:pPr>
            <w:r>
              <w:rPr/>
              <w:t>多情景预测结果</w:t>
            </w:r>
          </w:p>
        </w:tc>
        <w:tc>
          <w:tcPr>
            <w:tcW w:w="2948" w:type="dxa"/>
            <w:tcBorders/>
            <w:vAlign w:val="center"/>
          </w:tcPr>
          <w:p>
            <w:pPr>
              <w:pStyle w:val="Style7"/>
              <w:rPr/>
            </w:pPr>
            <w:r>
              <w:rPr/>
              <w:t>形成</w:t>
            </w:r>
            <w:r>
              <w:rPr/>
              <w:t>3—10</w:t>
            </w:r>
            <w:r>
              <w:rPr/>
              <w:t>年负荷规模、结构、最大负荷、典型日曲线和预测区间等结果。</w:t>
            </w:r>
          </w:p>
        </w:tc>
      </w:tr>
      <w:tr>
        <w:trPr>
          <w:cantSplit w:val="true"/>
        </w:trPr>
        <w:tc>
          <w:tcPr>
            <w:tcW w:w="2948" w:type="dxa"/>
            <w:tcBorders/>
            <w:vAlign w:val="center"/>
          </w:tcPr>
          <w:p>
            <w:pPr>
              <w:pStyle w:val="-"/>
              <w:jc w:val="center"/>
              <w:rPr/>
            </w:pPr>
            <w:r>
              <w:rPr/>
              <w:t>5</w:t>
            </w:r>
          </w:p>
        </w:tc>
        <w:tc>
          <w:tcPr>
            <w:tcW w:w="2948" w:type="dxa"/>
            <w:tcBorders/>
            <w:vAlign w:val="center"/>
          </w:tcPr>
          <w:p>
            <w:pPr>
              <w:pStyle w:val="Style7"/>
              <w:rPr/>
            </w:pPr>
            <w:r>
              <w:rPr/>
              <w:t>预测结果验证记录</w:t>
            </w:r>
          </w:p>
        </w:tc>
        <w:tc>
          <w:tcPr>
            <w:tcW w:w="2948" w:type="dxa"/>
            <w:tcBorders/>
            <w:vAlign w:val="center"/>
          </w:tcPr>
          <w:p>
            <w:pPr>
              <w:pStyle w:val="Style7"/>
              <w:rPr/>
            </w:pPr>
            <w:r>
              <w:rPr/>
              <w:t>形成历史回溯、趋势合理性、规划边界及物理业务校核中的适用验证结果。</w:t>
            </w:r>
          </w:p>
        </w:tc>
      </w:tr>
      <w:tr>
        <w:trPr>
          <w:cantSplit w:val="true"/>
        </w:trPr>
        <w:tc>
          <w:tcPr>
            <w:tcW w:w="2948" w:type="dxa"/>
            <w:tcBorders/>
            <w:vAlign w:val="center"/>
          </w:tcPr>
          <w:p>
            <w:pPr>
              <w:pStyle w:val="-"/>
              <w:jc w:val="center"/>
              <w:rPr/>
            </w:pPr>
            <w:r>
              <w:rPr/>
              <w:t>6</w:t>
            </w:r>
          </w:p>
        </w:tc>
        <w:tc>
          <w:tcPr>
            <w:tcW w:w="2948" w:type="dxa"/>
            <w:tcBorders/>
            <w:vAlign w:val="center"/>
          </w:tcPr>
          <w:p>
            <w:pPr>
              <w:pStyle w:val="Style7"/>
              <w:rPr/>
            </w:pPr>
            <w:r>
              <w:rPr/>
              <w:t>校准前后结果对比</w:t>
            </w:r>
          </w:p>
        </w:tc>
        <w:tc>
          <w:tcPr>
            <w:tcW w:w="2948" w:type="dxa"/>
            <w:tcBorders/>
            <w:vAlign w:val="center"/>
          </w:tcPr>
          <w:p>
            <w:pPr>
              <w:pStyle w:val="Style7"/>
              <w:rPr/>
            </w:pPr>
            <w:r>
              <w:rPr/>
              <w:t>保留校准前后预测版本、差异说明及主要参数变化。</w:t>
            </w:r>
          </w:p>
        </w:tc>
      </w:tr>
      <w:tr>
        <w:trPr>
          <w:cantSplit w:val="true"/>
        </w:trPr>
        <w:tc>
          <w:tcPr>
            <w:tcW w:w="2948" w:type="dxa"/>
            <w:tcBorders/>
            <w:vAlign w:val="center"/>
          </w:tcPr>
          <w:p>
            <w:pPr>
              <w:pStyle w:val="-"/>
              <w:jc w:val="center"/>
              <w:rPr/>
            </w:pPr>
            <w:r>
              <w:rPr/>
              <w:t>7</w:t>
            </w:r>
          </w:p>
        </w:tc>
        <w:tc>
          <w:tcPr>
            <w:tcW w:w="2948" w:type="dxa"/>
            <w:tcBorders/>
            <w:vAlign w:val="center"/>
          </w:tcPr>
          <w:p>
            <w:pPr>
              <w:pStyle w:val="Style7"/>
              <w:rPr/>
            </w:pPr>
            <w:r>
              <w:rPr/>
              <w:t>问题清单与优化建议</w:t>
            </w:r>
          </w:p>
        </w:tc>
        <w:tc>
          <w:tcPr>
            <w:tcW w:w="2948" w:type="dxa"/>
            <w:tcBorders/>
            <w:vAlign w:val="center"/>
          </w:tcPr>
          <w:p>
            <w:pPr>
              <w:pStyle w:val="Style7"/>
              <w:rPr/>
            </w:pPr>
            <w:r>
              <w:rPr/>
              <w:t>形成数据、情景、模型、曲线、展示和流程等问题及处理建议。</w:t>
            </w:r>
          </w:p>
        </w:tc>
      </w:tr>
      <w:tr>
        <w:trPr>
          <w:cantSplit w:val="true"/>
        </w:trPr>
        <w:tc>
          <w:tcPr>
            <w:tcW w:w="2948" w:type="dxa"/>
            <w:tcBorders/>
            <w:vAlign w:val="center"/>
          </w:tcPr>
          <w:p>
            <w:pPr>
              <w:pStyle w:val="-"/>
              <w:jc w:val="center"/>
              <w:rPr/>
            </w:pPr>
            <w:r>
              <w:rPr/>
              <w:t>8</w:t>
            </w:r>
          </w:p>
        </w:tc>
        <w:tc>
          <w:tcPr>
            <w:tcW w:w="2948" w:type="dxa"/>
            <w:tcBorders/>
            <w:vAlign w:val="center"/>
          </w:tcPr>
          <w:p>
            <w:pPr>
              <w:pStyle w:val="Style7"/>
              <w:rPr/>
            </w:pPr>
            <w:r>
              <w:rPr/>
              <w:t>典型区域验证报告</w:t>
            </w:r>
          </w:p>
        </w:tc>
        <w:tc>
          <w:tcPr>
            <w:tcW w:w="2948" w:type="dxa"/>
            <w:tcBorders/>
            <w:vAlign w:val="center"/>
          </w:tcPr>
          <w:p>
            <w:pPr>
              <w:pStyle w:val="Style7"/>
              <w:rPr/>
            </w:pPr>
            <w:r>
              <w:rPr/>
              <w:t>分别形成高电气化工业基地和电动汽车高渗透率城市的验证结论及模块优化建议。</w:t>
            </w:r>
          </w:p>
        </w:tc>
      </w:tr>
    </w:tbl>
    <w:p>
      <w:pPr>
        <w:pStyle w:val="Heading1"/>
        <w:keepNext w:val="true"/>
        <w:spacing w:before="200" w:after="100"/>
        <w:ind w:hanging="0" w:start="0" w:end="0"/>
        <w:rPr/>
      </w:pPr>
      <w:bookmarkStart w:id="32" w:name="__RefHeading___Toc3972_1443650120"/>
      <w:bookmarkEnd w:id="32"/>
      <w:r>
        <w:rPr>
          <w:rFonts w:ascii="Times New Roman" w:hAnsi="Times New Roman" w:cs="Times New Roman"/>
          <w:b/>
          <w:color w:val="000000"/>
          <w:sz w:val="32"/>
        </w:rPr>
        <w:t>任务</w:t>
      </w:r>
      <w:r>
        <w:rPr>
          <w:rFonts w:eastAsia="黑体" w:cs="Times New Roman"/>
          <w:b/>
          <w:color w:val="000000"/>
          <w:sz w:val="32"/>
        </w:rPr>
        <w:t>3</w:t>
      </w:r>
      <w:r>
        <w:rPr>
          <w:rFonts w:ascii="Times New Roman" w:hAnsi="Times New Roman" w:cs="Times New Roman"/>
          <w:b/>
          <w:color w:val="000000"/>
          <w:sz w:val="32"/>
        </w:rPr>
        <w:t>：基于典型区域验证落地的规划方案匹配度提升</w:t>
      </w:r>
    </w:p>
    <w:p>
      <w:pPr>
        <w:pStyle w:val="Heading2"/>
        <w:keepNext w:val="true"/>
        <w:spacing w:before="120" w:after="100"/>
        <w:ind w:hanging="0" w:start="0" w:end="0"/>
        <w:rPr/>
      </w:pPr>
      <w:bookmarkStart w:id="33" w:name="__RefHeading___Toc3974_1443650120"/>
      <w:bookmarkEnd w:id="33"/>
      <w:r>
        <w:rPr>
          <w:rFonts w:ascii="Times New Roman" w:hAnsi="Times New Roman" w:cs="Times New Roman"/>
          <w:b/>
          <w:color w:val="000000"/>
          <w:sz w:val="28"/>
        </w:rPr>
        <w:t>任务目标</w:t>
      </w:r>
    </w:p>
    <w:p>
      <w:pPr>
        <w:pStyle w:val="Style5"/>
        <w:spacing w:lineRule="auto" w:line="360" w:before="0" w:after="0"/>
        <w:ind w:firstLine="480" w:start="0" w:end="0"/>
        <w:jc w:val="both"/>
        <w:rPr/>
      </w:pPr>
      <w:r>
        <w:rPr>
          <w:rFonts w:ascii="Times New Roman" w:hAnsi="Times New Roman" w:cs="Times New Roman"/>
          <w:b w:val="false"/>
          <w:color w:val="000000"/>
          <w:sz w:val="24"/>
        </w:rPr>
        <w:t>利用任务</w:t>
      </w:r>
      <w:r>
        <w:rPr>
          <w:rFonts w:eastAsia="仿宋" w:cs="Times New Roman"/>
          <w:b w:val="false"/>
          <w:color w:val="000000"/>
          <w:sz w:val="24"/>
        </w:rPr>
        <w:t>2</w:t>
      </w:r>
      <w:r>
        <w:rPr>
          <w:rFonts w:ascii="Times New Roman" w:hAnsi="Times New Roman" w:cs="Times New Roman"/>
          <w:b w:val="false"/>
          <w:color w:val="000000"/>
          <w:sz w:val="24"/>
        </w:rPr>
        <w:t>形成的典型区域多情景负荷预测结果，组织电源规划和典型出力数据，开展负荷与电源的逐时段匹配分析，识别规划方案在不同年份和不同情景下的供需缺口、新能源消纳和适应性短板，形成规划方案对比结果和优化方向。</w:t>
      </w:r>
    </w:p>
    <w:p>
      <w:pPr>
        <w:pStyle w:val="Heading2"/>
        <w:keepNext w:val="true"/>
        <w:spacing w:before="120" w:after="100"/>
        <w:ind w:hanging="0" w:start="0" w:end="0"/>
        <w:rPr/>
      </w:pPr>
      <w:bookmarkStart w:id="34" w:name="__RefHeading___Toc3976_1443650120"/>
      <w:bookmarkEnd w:id="34"/>
      <w:r>
        <w:rPr>
          <w:rFonts w:ascii="Times New Roman" w:hAnsi="Times New Roman" w:cs="Times New Roman"/>
          <w:b/>
          <w:color w:val="000000"/>
          <w:sz w:val="28"/>
        </w:rPr>
        <w:t>规划方案数据组织</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数据类别</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主要字段</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用途</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常规电源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电源类型、装机容量、可用容量、投产年份。</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形成可调度电源能力曲线。</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新能源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风电、光伏装机及典型出力曲线。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分析出力波动和消纳情况。</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外来电</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送入能力、交易规模、典型送电曲线。</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补充区域供电能力。</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储能</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功率、容量、充放电时段和效率。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评估峰谷调节和缺口缓解作用。</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负荷调节资源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有序充电、可调工业负荷、虚拟电厂等可调能力。</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比较不同负荷调节方案。</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规划方案信息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方案名称、目标年、参数版本和说明。</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用于不同方案的统一管理和对比。</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35" w:name="__RefHeading___Toc3978_1443650120"/>
      <w:bookmarkEnd w:id="35"/>
      <w:r>
        <w:rPr>
          <w:rFonts w:ascii="Times New Roman" w:hAnsi="Times New Roman" w:cs="Times New Roman"/>
          <w:b/>
          <w:color w:val="000000"/>
          <w:sz w:val="28"/>
        </w:rPr>
        <w:t>源荷时序匹配分析</w:t>
      </w:r>
    </w:p>
    <w:p>
      <w:pPr>
        <w:pStyle w:val="Style5"/>
        <w:spacing w:lineRule="auto" w:line="360" w:before="0" w:after="0"/>
        <w:ind w:firstLine="480" w:start="0" w:end="0"/>
        <w:jc w:val="both"/>
        <w:rPr/>
      </w:pPr>
      <w:r>
        <w:rPr>
          <w:rFonts w:ascii="Times New Roman" w:hAnsi="Times New Roman" w:cs="Times New Roman"/>
          <w:b w:val="false"/>
          <w:color w:val="000000"/>
          <w:sz w:val="24"/>
        </w:rPr>
        <w:t>源荷匹配分析选择一个负荷预测版本和一个电源规划方案，在统一的目标年份、典型日和时间粒度下进行逐时段对比。对于每一时段，计算预测负荷、可用电源、功率缺口或富余，并汇总最大供电缺口、缺口持续时间和源荷匹配率。</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指标</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计算含义</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结果表达</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功率缺口</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预测负荷大于可用电源时的差值。</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MW</w:t>
            </w:r>
            <w:r>
              <w:rPr>
                <w:rFonts w:ascii="Times New Roman" w:hAnsi="Times New Roman" w:cs="Times New Roman"/>
                <w:b w:val="false"/>
                <w:color w:val="000000"/>
                <w:kern w:val="0"/>
                <w:sz w:val="21"/>
                <w:szCs w:val="22"/>
                <w:lang w:val="en-US" w:eastAsia="en-US" w:bidi="ar-SA"/>
              </w:rPr>
              <w:t>及对应时刻。</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富余功率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可用电源大于预测负荷时的差值。</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MW</w:t>
            </w:r>
            <w:r>
              <w:rPr>
                <w:rFonts w:ascii="Times New Roman" w:hAnsi="Times New Roman" w:cs="Times New Roman"/>
                <w:b w:val="false"/>
                <w:color w:val="000000"/>
                <w:kern w:val="0"/>
                <w:sz w:val="21"/>
                <w:szCs w:val="22"/>
                <w:lang w:val="en-US" w:eastAsia="en-US" w:bidi="ar-SA"/>
              </w:rPr>
              <w:t>及对应时刻。</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最大供电缺口</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分析周期内功率缺口的最大值。</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MW</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缺口持续时间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存在功率缺口的累计时段。</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小时或时段数。</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负荷得到电源满足的时段或电量比例。</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百分比。</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新能源消纳率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新能源实际消纳电量与可发电量之比。</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百分比。</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36" w:name="__RefHeading___Toc3980_1443650120"/>
      <w:bookmarkEnd w:id="36"/>
      <w:r>
        <w:rPr>
          <w:rFonts w:ascii="Times New Roman" w:hAnsi="Times New Roman" w:cs="Times New Roman"/>
          <w:b/>
          <w:color w:val="000000"/>
          <w:sz w:val="28"/>
        </w:rPr>
        <w:t>规划方案对比</w:t>
      </w:r>
    </w:p>
    <w:p>
      <w:pPr>
        <w:pStyle w:val="Style5"/>
        <w:spacing w:lineRule="auto" w:line="360" w:before="0" w:after="0"/>
        <w:ind w:firstLine="480" w:start="0" w:end="0"/>
        <w:jc w:val="both"/>
        <w:rPr/>
      </w:pPr>
      <w:r>
        <w:rPr>
          <w:rFonts w:ascii="Times New Roman" w:hAnsi="Times New Roman" w:cs="Times New Roman"/>
          <w:b w:val="false"/>
          <w:color w:val="000000"/>
          <w:sz w:val="24"/>
        </w:rPr>
        <w:t>模块支持选择不超过三个规划方案进行并列对比。对比内容包括最大供电缺口、缺口持续时间、源荷匹配率、新能源消纳率以及关键时段源荷曲线。对同一方案还应比较其在基准、低碳约束和强碳约束情景下的适应性。</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对比方向</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分析内容</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不同电源规模</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比较常规电源、新能源和外来电规模变化对缺口的影响。</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不同储能配置</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比较储能功率和容量对晚高峰缺口及新能源富余的改善作用。</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不同负荷调节</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比较有序充电、工业可调负荷等措施对峰值和缺口的影响。</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不同情景适应性</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比较同一规划方案在三类负荷发展情景下的供需平衡表现。</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不同投产时序</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比较电源投产年份与负荷增长节奏是否匹配。</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37" w:name="__RefHeading___Toc3982_1443650120"/>
      <w:bookmarkEnd w:id="37"/>
      <w:r>
        <w:rPr>
          <w:rFonts w:ascii="Times New Roman" w:hAnsi="Times New Roman" w:cs="Times New Roman"/>
          <w:b/>
          <w:color w:val="000000"/>
          <w:sz w:val="28"/>
        </w:rPr>
        <w:t>匹配短板识别</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负荷高峰时段可用电源不足，形成持续或尖峰性供电缺口。</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新能源低出力时段与新型负荷高峰叠加，导致调节能力不足。</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新能源高出力时段负荷承接能力不足，存在消纳空间不足。</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电源项目投产进度晚于负荷增长，形成阶段性供需错配。</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电动汽车、数据中心或工业电替代负荷集中发展，使局部负荷增长超出规划边界。</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同一规划方案对强碳约束情景适应性不足，缺乏情景弹性。</w:t>
      </w:r>
    </w:p>
    <w:p>
      <w:pPr>
        <w:pStyle w:val="Heading2"/>
        <w:keepNext w:val="true"/>
        <w:spacing w:before="120" w:after="100"/>
        <w:ind w:hanging="0" w:start="0" w:end="0"/>
        <w:rPr/>
      </w:pPr>
      <w:bookmarkStart w:id="38" w:name="__RefHeading___Toc3984_1443650120"/>
      <w:bookmarkEnd w:id="38"/>
      <w:r>
        <w:rPr>
          <w:rFonts w:ascii="Times New Roman" w:hAnsi="Times New Roman" w:cs="Times New Roman"/>
          <w:b/>
          <w:color w:val="000000"/>
          <w:sz w:val="28"/>
        </w:rPr>
        <w:t>规划方案优化方向</w:t>
      </w:r>
    </w:p>
    <w:p>
      <w:pPr>
        <w:pStyle w:val="Style5"/>
        <w:spacing w:lineRule="auto" w:line="360" w:before="0" w:after="0"/>
        <w:ind w:firstLine="480" w:start="0" w:end="0"/>
        <w:jc w:val="both"/>
        <w:rPr/>
      </w:pPr>
      <w:r>
        <w:rPr>
          <w:rFonts w:ascii="Times New Roman" w:hAnsi="Times New Roman" w:cs="Times New Roman"/>
          <w:b w:val="false"/>
          <w:color w:val="000000"/>
          <w:sz w:val="24"/>
        </w:rPr>
        <w:t>规划方案优化方向应以匹配分析结果为依据，重点研究电源投产时序、调节性资源、储能、新能源消纳和负荷侧调节措施。软件输出的优化方向属于规划分析支撑结论，用于辅助专业人员开展后续规划论证。</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问题类型</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建议优化方向</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峰时容量不足</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调整电源投产时序，增加调节性电源、外来电或储能支撑。</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新能源消纳不足</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增加储能和可调负荷，优化电动汽车充电及工业用能时段。</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晚高峰快速增长</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提高有序充电比例，配置峰时响应资源。</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工业负荷集中投产</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根据重大项目投产节奏调整供电和电源建设安排。</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情景适应性不足</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设置分阶段建设方案或预留扩展能力，提高规划弹性。</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39" w:name="__RefHeading___Toc3986_1443650120"/>
      <w:bookmarkEnd w:id="39"/>
      <w:r>
        <w:rPr>
          <w:rFonts w:ascii="Times New Roman" w:hAnsi="Times New Roman" w:cs="Times New Roman"/>
          <w:b/>
          <w:color w:val="000000"/>
          <w:sz w:val="28"/>
        </w:rPr>
        <w:t>标准化应用流程</w:t>
      </w:r>
    </w:p>
    <w:p>
      <w:pPr>
        <w:pStyle w:val="Style5"/>
        <w:spacing w:lineRule="auto" w:line="360" w:before="0" w:after="0"/>
        <w:ind w:firstLine="480" w:start="0" w:end="0"/>
        <w:jc w:val="both"/>
        <w:rPr/>
      </w:pPr>
      <w:r>
        <w:rPr>
          <w:rFonts w:ascii="Times New Roman" w:hAnsi="Times New Roman" w:cs="Times New Roman"/>
          <w:b w:val="false"/>
          <w:color w:val="000000"/>
          <w:sz w:val="24"/>
        </w:rPr>
        <w:t>基于三项任务研究成果，形成“区域数据准备—多情景负荷预测—目标年份选择—电源方案导入—源荷时序匹配—匹配短板识别—方案对比—优化方向形成”的标准化应用流程。流程中每一项分析结果均记录对应的数据、模型、情景和方案版本，确保结论可追溯。</w:t>
      </w:r>
    </w:p>
    <w:p>
      <w:pPr>
        <w:pStyle w:val="Heading1"/>
        <w:keepNext w:val="true"/>
        <w:spacing w:before="200" w:after="100"/>
        <w:ind w:hanging="0" w:start="0" w:end="0"/>
        <w:rPr/>
      </w:pPr>
      <w:bookmarkStart w:id="40" w:name="__RefHeading___Toc3988_1443650120"/>
      <w:bookmarkEnd w:id="40"/>
      <w:r>
        <w:rPr>
          <w:rFonts w:ascii="Times New Roman" w:hAnsi="Times New Roman" w:cs="Times New Roman"/>
          <w:b/>
          <w:color w:val="000000"/>
          <w:sz w:val="32"/>
        </w:rPr>
        <w:t>软件总体设计</w:t>
      </w:r>
    </w:p>
    <w:p>
      <w:pPr>
        <w:pStyle w:val="Heading2"/>
        <w:keepNext w:val="true"/>
        <w:spacing w:before="120" w:after="100"/>
        <w:ind w:hanging="0" w:start="0" w:end="0"/>
        <w:rPr/>
      </w:pPr>
      <w:bookmarkStart w:id="41" w:name="__RefHeading___Toc3990_1443650120"/>
      <w:bookmarkEnd w:id="41"/>
      <w:r>
        <w:rPr>
          <w:rFonts w:ascii="Times New Roman" w:hAnsi="Times New Roman" w:cs="Times New Roman"/>
          <w:b/>
          <w:color w:val="000000"/>
          <w:sz w:val="28"/>
        </w:rPr>
        <w:t>软件形态</w:t>
      </w:r>
    </w:p>
    <w:p>
      <w:pPr>
        <w:pStyle w:val="Style5"/>
        <w:spacing w:lineRule="auto" w:line="360" w:before="0" w:after="0"/>
        <w:ind w:firstLine="480" w:start="0" w:end="0"/>
        <w:jc w:val="both"/>
        <w:rPr/>
      </w:pPr>
      <w:r>
        <w:rPr>
          <w:rFonts w:ascii="Times New Roman" w:hAnsi="Times New Roman" w:cs="Times New Roman"/>
          <w:b w:val="false"/>
          <w:color w:val="000000"/>
          <w:sz w:val="24"/>
        </w:rPr>
        <w:t>软件采用</w:t>
      </w:r>
      <w:r>
        <w:rPr>
          <w:rFonts w:eastAsia="仿宋" w:cs="Times New Roman"/>
          <w:b w:val="false"/>
          <w:color w:val="000000"/>
          <w:sz w:val="24"/>
        </w:rPr>
        <w:t>Windows</w:t>
      </w:r>
      <w:r>
        <w:rPr>
          <w:rFonts w:ascii="Times New Roman" w:hAnsi="Times New Roman" w:cs="Times New Roman"/>
          <w:b w:val="false"/>
          <w:color w:val="000000"/>
          <w:sz w:val="24"/>
        </w:rPr>
        <w:t>单机离线便携式本地</w:t>
      </w:r>
      <w:r>
        <w:rPr>
          <w:rFonts w:eastAsia="仿宋" w:cs="Times New Roman"/>
          <w:b w:val="false"/>
          <w:color w:val="000000"/>
          <w:sz w:val="24"/>
        </w:rPr>
        <w:t>Web</w:t>
      </w:r>
      <w:r>
        <w:rPr>
          <w:rFonts w:ascii="Times New Roman" w:hAnsi="Times New Roman" w:cs="Times New Roman"/>
          <w:b w:val="false"/>
          <w:color w:val="000000"/>
          <w:sz w:val="24"/>
        </w:rPr>
        <w:t>应用形态。交付包以免安装</w:t>
      </w:r>
      <w:r>
        <w:rPr>
          <w:rFonts w:eastAsia="仿宋" w:cs="Times New Roman"/>
          <w:b w:val="false"/>
          <w:color w:val="000000"/>
          <w:sz w:val="24"/>
        </w:rPr>
        <w:t>ZIP</w:t>
      </w:r>
      <w:r>
        <w:rPr>
          <w:rFonts w:ascii="Times New Roman" w:hAnsi="Times New Roman" w:cs="Times New Roman"/>
          <w:b w:val="false"/>
          <w:color w:val="000000"/>
          <w:sz w:val="24"/>
        </w:rPr>
        <w:t>形式提供，用户解压后双击统一启动程序，系统在本机启动业务服务、算法引擎和本地数据存储，并自动打开默认浏览器访问本机回环地址。系统运行仅面向本机，不部署到独立服务器，不提供局域网多人访问，也不依赖外部网络。预测计算采用离线批量方式，结构化业务数据保存在</w:t>
      </w:r>
      <w:r>
        <w:rPr>
          <w:rFonts w:eastAsia="仿宋" w:cs="Times New Roman"/>
          <w:b w:val="false"/>
          <w:color w:val="000000"/>
          <w:sz w:val="24"/>
        </w:rPr>
        <w:t>SQLite</w:t>
      </w:r>
      <w:r>
        <w:rPr>
          <w:rFonts w:ascii="Times New Roman" w:hAnsi="Times New Roman" w:cs="Times New Roman"/>
          <w:b w:val="false"/>
          <w:color w:val="000000"/>
          <w:sz w:val="24"/>
        </w:rPr>
        <w:t>本地数据库中，原始数据、模型文件和成果文件保存在本地项目目录。</w:t>
      </w:r>
    </w:p>
    <w:p>
      <w:pPr>
        <w:pStyle w:val="Heading2"/>
        <w:keepNext w:val="true"/>
        <w:spacing w:before="120" w:after="100"/>
        <w:ind w:hanging="0" w:start="0" w:end="0"/>
        <w:rPr/>
      </w:pPr>
      <w:bookmarkStart w:id="42" w:name="__RefHeading___Toc3992_1443650120"/>
      <w:bookmarkEnd w:id="42"/>
      <w:r>
        <w:rPr>
          <w:rFonts w:ascii="Times New Roman" w:hAnsi="Times New Roman" w:cs="Times New Roman"/>
          <w:b/>
          <w:color w:val="000000"/>
          <w:sz w:val="28"/>
        </w:rPr>
        <w:t>页面菜单设计</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一级菜单</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二级功能</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主要操作</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项目与数据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项目管理、数据导入、数据查看、数据检查。</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建立项目、导入模板、查看数据质量。</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负荷分析与预测</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负荷特性分析、情景参数、预测任务、预测结果、版本对比。</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完成核心负荷分析和三类情景预测。</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源荷匹配评估</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电源方案导入、源荷时序匹配、规划方案对比。</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形成供需缺口和方案比较结果。</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结果与报告</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结果汇总、</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导出、</w:t>
            </w:r>
            <w:r>
              <w:rPr>
                <w:rFonts w:eastAsia="仿宋" w:cs="Times New Roman"/>
                <w:b w:val="false"/>
                <w:color w:val="000000"/>
                <w:kern w:val="0"/>
                <w:sz w:val="21"/>
                <w:szCs w:val="22"/>
                <w:lang w:val="en-US" w:eastAsia="en-US" w:bidi="ar-SA"/>
              </w:rPr>
              <w:t>Word</w:t>
            </w:r>
            <w:r>
              <w:rPr>
                <w:rFonts w:ascii="Times New Roman" w:hAnsi="Times New Roman" w:cs="Times New Roman"/>
                <w:b w:val="false"/>
                <w:color w:val="000000"/>
                <w:kern w:val="0"/>
                <w:sz w:val="21"/>
                <w:szCs w:val="22"/>
                <w:lang w:val="en-US" w:eastAsia="en-US" w:bidi="ar-SA"/>
              </w:rPr>
              <w:t>报告生成。</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形成标准化研究成果。</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系统配置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模型配置、基础参数、运行日志。</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维护本地模型、字典、参数及运行信息。</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43" w:name="__RefHeading___Toc3994_1443650120"/>
      <w:bookmarkEnd w:id="43"/>
      <w:r>
        <w:rPr>
          <w:rFonts w:ascii="Times New Roman" w:hAnsi="Times New Roman" w:cs="Times New Roman"/>
          <w:b/>
          <w:color w:val="000000"/>
          <w:sz w:val="28"/>
        </w:rPr>
        <w:t>页面交互原则</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以项目为核心组织数据、参数、模型和结果，当前项目在页面顶部持续显示。</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数据导入采用固定模板，错误信息明确定位到工作表、字段和行号。</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情景参数在单一页面集中展示，提供默认值、单位和合理区间。</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预测结果采用“指标卡片</w:t>
      </w:r>
      <w:r>
        <w:rPr>
          <w:rFonts w:eastAsia="仿宋" w:cs="Times New Roman"/>
          <w:b w:val="false"/>
          <w:color w:val="000000"/>
          <w:sz w:val="24"/>
        </w:rPr>
        <w:t>+</w:t>
      </w:r>
      <w:r>
        <w:rPr>
          <w:rFonts w:ascii="Times New Roman" w:hAnsi="Times New Roman" w:cs="Times New Roman"/>
          <w:b w:val="false"/>
          <w:color w:val="000000"/>
          <w:sz w:val="24"/>
        </w:rPr>
        <w:t>趋势图</w:t>
      </w:r>
      <w:r>
        <w:rPr>
          <w:rFonts w:eastAsia="仿宋" w:cs="Times New Roman"/>
          <w:b w:val="false"/>
          <w:color w:val="000000"/>
          <w:sz w:val="24"/>
        </w:rPr>
        <w:t>+</w:t>
      </w:r>
      <w:r>
        <w:rPr>
          <w:rFonts w:ascii="Times New Roman" w:hAnsi="Times New Roman" w:cs="Times New Roman"/>
          <w:b w:val="false"/>
          <w:color w:val="000000"/>
          <w:sz w:val="24"/>
        </w:rPr>
        <w:t>数据表”组合展示。</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源荷匹配页面同时展示负荷、电源和功率缺口曲线。</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所有结果页面均提供数据版本、模型版本和生成时间信息。</w:t>
      </w:r>
    </w:p>
    <w:p>
      <w:pPr>
        <w:pStyle w:val="Heading2"/>
        <w:keepNext w:val="true"/>
        <w:spacing w:lineRule="auto" w:line="360" w:before="0" w:after="0"/>
        <w:ind w:hanging="0" w:start="0" w:end="0"/>
        <w:rPr/>
      </w:pPr>
      <w:bookmarkStart w:id="44" w:name="__RefHeading___Toc3996_1443650120"/>
      <w:bookmarkEnd w:id="44"/>
      <w:r>
        <w:rPr>
          <w:rFonts w:ascii="Times New Roman" w:hAnsi="Times New Roman" w:cs="Times New Roman"/>
          <w:b/>
          <w:color w:val="000000"/>
          <w:sz w:val="28"/>
        </w:rPr>
        <w:t>本地使用与维护方式</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使用对象</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主要操作与说明</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规划分析人员</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在本机启动系统，完成项目创建、数据导入、负荷分析、情景配置、预测运行、源荷评估和成果导出。基础版不设置复杂的多用户账号体系。</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软件维护人员</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负责离线模型包和基础参数更新、运行日志查看、项目数据备份恢复以及程序版本替换。维护操作均在本机完成。</w:t>
            </w:r>
          </w:p>
        </w:tc>
      </w:tr>
    </w:tbl>
    <w:p>
      <w:pPr>
        <w:pStyle w:val="Normal"/>
        <w:spacing w:lineRule="auto" w:line="360" w:before="0" w:after="0"/>
        <w:ind w:hanging="0"/>
        <w:jc w:val="both"/>
        <w:rPr/>
      </w:pPr>
      <w:r>
        <w:rPr/>
      </w:r>
    </w:p>
    <w:p>
      <w:pPr>
        <w:pStyle w:val="Heading1"/>
        <w:keepNext w:val="true"/>
        <w:spacing w:before="200" w:after="100"/>
        <w:ind w:hanging="0" w:start="0" w:end="0"/>
        <w:rPr/>
      </w:pPr>
      <w:bookmarkStart w:id="45" w:name="__RefHeading___Toc3998_1443650120"/>
      <w:bookmarkEnd w:id="45"/>
      <w:r>
        <w:rPr>
          <w:rFonts w:ascii="Times New Roman" w:hAnsi="Times New Roman" w:cs="Times New Roman"/>
          <w:b/>
          <w:color w:val="000000"/>
          <w:sz w:val="32"/>
        </w:rPr>
        <w:t>数据与模型设计</w:t>
      </w:r>
    </w:p>
    <w:p>
      <w:pPr>
        <w:pStyle w:val="Heading2"/>
        <w:keepNext w:val="true"/>
        <w:spacing w:before="120" w:after="100"/>
        <w:ind w:hanging="0" w:start="0" w:end="0"/>
        <w:rPr/>
      </w:pPr>
      <w:bookmarkStart w:id="46" w:name="__RefHeading___Toc4000_1443650120"/>
      <w:bookmarkEnd w:id="46"/>
      <w:r>
        <w:rPr>
          <w:rFonts w:ascii="Times New Roman" w:hAnsi="Times New Roman" w:cs="Times New Roman"/>
          <w:b/>
          <w:color w:val="000000"/>
          <w:sz w:val="28"/>
        </w:rPr>
        <w:t>数据分类</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数据层级</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主要内容</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存储方式</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项目名称、区域、基准年、预测周期、项目说明。</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本地数据库。</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输入数据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历史负荷、新型负荷、驱动因素、典型曲线、电源规划。</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索引</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 xml:space="preserve">结构化数据 </w:t>
            </w:r>
            <w:r>
              <w:rPr>
                <w:rFonts w:eastAsia="仿宋" w:cs="Times New Roman"/>
                <w:b w:val="false"/>
                <w:color w:val="000000"/>
                <w:kern w:val="0"/>
                <w:sz w:val="21"/>
                <w:szCs w:val="22"/>
                <w:lang w:val="en-US" w:eastAsia="en-US" w:bidi="ar-SA"/>
              </w:rPr>
              <w:t xml:space="preserve">+ </w:t>
            </w:r>
            <w:r>
              <w:rPr>
                <w:rFonts w:ascii="Times New Roman" w:hAnsi="Times New Roman" w:cs="Times New Roman"/>
                <w:b w:val="false"/>
                <w:color w:val="000000"/>
                <w:kern w:val="0"/>
                <w:sz w:val="21"/>
                <w:szCs w:val="22"/>
                <w:lang w:val="en-US" w:eastAsia="en-US" w:bidi="ar-SA"/>
              </w:rPr>
              <w:t>原始</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文件。</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资源数据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负荷类型、场景、标准曲线、指标和参数字典。</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 xml:space="preserve">本地数据库 </w:t>
            </w:r>
            <w:r>
              <w:rPr>
                <w:rFonts w:eastAsia="仿宋" w:cs="Times New Roman"/>
                <w:b w:val="false"/>
                <w:color w:val="000000"/>
                <w:kern w:val="0"/>
                <w:sz w:val="21"/>
                <w:szCs w:val="22"/>
                <w:lang w:val="en-US" w:eastAsia="en-US" w:bidi="ar-SA"/>
              </w:rPr>
              <w:t xml:space="preserve">+ </w:t>
            </w:r>
            <w:r>
              <w:rPr>
                <w:rFonts w:ascii="Times New Roman" w:hAnsi="Times New Roman" w:cs="Times New Roman"/>
                <w:b w:val="false"/>
                <w:color w:val="000000"/>
                <w:kern w:val="0"/>
                <w:sz w:val="21"/>
                <w:szCs w:val="22"/>
                <w:lang w:val="en-US" w:eastAsia="en-US" w:bidi="ar-SA"/>
              </w:rPr>
              <w:t>资源目录。</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模型文件、输入输出说明、参数和版本信息。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 xml:space="preserve">本地模型目录 </w:t>
            </w:r>
            <w:r>
              <w:rPr>
                <w:rFonts w:eastAsia="仿宋" w:cs="Times New Roman"/>
                <w:b w:val="false"/>
                <w:color w:val="000000"/>
                <w:kern w:val="0"/>
                <w:sz w:val="21"/>
                <w:szCs w:val="22"/>
                <w:lang w:val="en-US" w:eastAsia="en-US" w:bidi="ar-SA"/>
              </w:rPr>
              <w:t>+ SQLite</w:t>
            </w:r>
            <w:r>
              <w:rPr>
                <w:rFonts w:ascii="Times New Roman" w:hAnsi="Times New Roman" w:cs="Times New Roman"/>
                <w:b w:val="false"/>
                <w:color w:val="000000"/>
                <w:kern w:val="0"/>
                <w:sz w:val="21"/>
                <w:szCs w:val="22"/>
                <w:lang w:val="en-US" w:eastAsia="en-US" w:bidi="ar-SA"/>
              </w:rPr>
              <w:t>模型元数据。</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结果数据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预测规模、结构、曲线、区间、版本对比和匹配指标。</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 xml:space="preserve">本地数据库 </w:t>
            </w:r>
            <w:r>
              <w:rPr>
                <w:rFonts w:eastAsia="仿宋" w:cs="Times New Roman"/>
                <w:b w:val="false"/>
                <w:color w:val="000000"/>
                <w:kern w:val="0"/>
                <w:sz w:val="21"/>
                <w:szCs w:val="22"/>
                <w:lang w:val="en-US" w:eastAsia="en-US" w:bidi="ar-SA"/>
              </w:rPr>
              <w:t xml:space="preserve">+ </w:t>
            </w:r>
            <w:r>
              <w:rPr>
                <w:rFonts w:ascii="Times New Roman" w:hAnsi="Times New Roman" w:cs="Times New Roman"/>
                <w:b w:val="false"/>
                <w:color w:val="000000"/>
                <w:kern w:val="0"/>
                <w:sz w:val="21"/>
                <w:szCs w:val="22"/>
                <w:lang w:val="en-US" w:eastAsia="en-US" w:bidi="ar-SA"/>
              </w:rPr>
              <w:t>项目结果文件。</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系统数据</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运行日志、基础配置、文件索引和版本信息。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本地配置</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 xml:space="preserve">日志文件 </w:t>
            </w:r>
            <w:r>
              <w:rPr>
                <w:rFonts w:eastAsia="仿宋" w:cs="Times New Roman"/>
                <w:b w:val="false"/>
                <w:color w:val="000000"/>
                <w:kern w:val="0"/>
                <w:sz w:val="21"/>
                <w:szCs w:val="22"/>
                <w:lang w:val="en-US" w:eastAsia="en-US" w:bidi="ar-SA"/>
              </w:rPr>
              <w:t>+ SQLite</w:t>
            </w:r>
            <w:r>
              <w:rPr>
                <w:rFonts w:ascii="Times New Roman" w:hAnsi="Times New Roman" w:cs="Times New Roman"/>
                <w:b w:val="false"/>
                <w:color w:val="000000"/>
                <w:kern w:val="0"/>
                <w:sz w:val="21"/>
                <w:szCs w:val="22"/>
                <w:lang w:val="en-US" w:eastAsia="en-US" w:bidi="ar-SA"/>
              </w:rPr>
              <w:t>。</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47" w:name="__RefHeading___Toc4002_1443650120"/>
      <w:bookmarkEnd w:id="47"/>
      <w:r>
        <w:rPr>
          <w:rFonts w:ascii="Times New Roman" w:hAnsi="Times New Roman" w:cs="Times New Roman"/>
          <w:b/>
          <w:color w:val="000000"/>
          <w:sz w:val="28"/>
        </w:rPr>
        <w:t>数据输入标准</w:t>
      </w:r>
    </w:p>
    <w:p>
      <w:pPr>
        <w:pStyle w:val="Style5"/>
        <w:spacing w:lineRule="auto" w:line="360" w:before="0" w:after="0"/>
        <w:ind w:firstLine="480" w:start="0" w:end="0"/>
        <w:jc w:val="both"/>
        <w:rPr/>
      </w:pPr>
      <w:r>
        <w:rPr>
          <w:rFonts w:ascii="Times New Roman" w:hAnsi="Times New Roman" w:cs="Times New Roman"/>
          <w:b w:val="false"/>
          <w:color w:val="000000"/>
          <w:sz w:val="24"/>
        </w:rPr>
        <w:t>所有输入模板应明确字段编码、中文名称、数据类型、单位、时间粒度、是否必填和说明。年度数据采用四位年份表示，时序数据采用统一日期时间格式。功率和电量单位应在模板中固定，不允许同一字段混用不同单位。</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字段属性</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要求</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字段名称</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中文名称与系统字段编码一一对应。</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数据类型</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明确整数、小数、文本、日期时间或枚举。</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单位</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功率、电量、比例、温度等字段使用统一单位。</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时间粒度</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明确年度、月度、日、小时、</w:t>
            </w:r>
            <w:r>
              <w:rPr>
                <w:rFonts w:eastAsia="仿宋" w:cs="Times New Roman"/>
                <w:b w:val="false"/>
                <w:color w:val="000000"/>
                <w:kern w:val="0"/>
                <w:sz w:val="21"/>
                <w:szCs w:val="22"/>
                <w:lang w:val="en-US" w:eastAsia="en-US" w:bidi="ar-SA"/>
              </w:rPr>
              <w:t>30</w:t>
            </w:r>
            <w:r>
              <w:rPr>
                <w:rFonts w:ascii="Times New Roman" w:hAnsi="Times New Roman" w:cs="Times New Roman"/>
                <w:b w:val="false"/>
                <w:color w:val="000000"/>
                <w:kern w:val="0"/>
                <w:sz w:val="21"/>
                <w:szCs w:val="22"/>
                <w:lang w:val="en-US" w:eastAsia="en-US" w:bidi="ar-SA"/>
              </w:rPr>
              <w:t>分钟或</w:t>
            </w:r>
            <w:r>
              <w:rPr>
                <w:rFonts w:eastAsia="仿宋" w:cs="Times New Roman"/>
                <w:b w:val="false"/>
                <w:color w:val="000000"/>
                <w:kern w:val="0"/>
                <w:sz w:val="21"/>
                <w:szCs w:val="22"/>
                <w:lang w:val="en-US" w:eastAsia="en-US" w:bidi="ar-SA"/>
              </w:rPr>
              <w:t>15</w:t>
            </w:r>
            <w:r>
              <w:rPr>
                <w:rFonts w:ascii="Times New Roman" w:hAnsi="Times New Roman" w:cs="Times New Roman"/>
                <w:b w:val="false"/>
                <w:color w:val="000000"/>
                <w:kern w:val="0"/>
                <w:sz w:val="21"/>
                <w:szCs w:val="22"/>
                <w:lang w:val="en-US" w:eastAsia="en-US" w:bidi="ar-SA"/>
              </w:rPr>
              <w:t>分钟。</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必填性</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模型必需字段标记为必填，缺失时提示错误。</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合理范围</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对比例、增长率、容量等字段设置基础范围。</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数据来源</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记录数据提供单位、文件名称和导入时间。</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48" w:name="__RefHeading___Toc4004_1443650120"/>
      <w:bookmarkEnd w:id="48"/>
      <w:r>
        <w:rPr>
          <w:rFonts w:ascii="Times New Roman" w:hAnsi="Times New Roman" w:cs="Times New Roman"/>
          <w:b/>
          <w:color w:val="000000"/>
          <w:sz w:val="28"/>
        </w:rPr>
        <w:t>标准输出数据结构</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输出表</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核心字段</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年度负荷预测结果表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项目、区域、年份、情景、用电量、最大负荷、增长率、预测上下限。</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负荷结构结果表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年份、情景、传统负荷、各类新型负荷、占比。</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典型日曲线表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项目、年份、情景、典型日类型、时间点、负荷值。</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预测版本对比表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指标、原版本、新版本、变化量、变化率、变化原因。</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源荷匹配结果表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时间点、预测负荷、可用电源、功率缺口、富余功率、状态。</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规划方案对比表</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方案、情景、最大缺口、缺口时长、匹配率、新能源消纳率。</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49" w:name="__RefHeading___Toc4006_1443650120"/>
      <w:bookmarkEnd w:id="49"/>
      <w:r>
        <w:rPr>
          <w:rFonts w:ascii="Times New Roman" w:hAnsi="Times New Roman" w:cs="Times New Roman"/>
          <w:b/>
          <w:color w:val="000000"/>
          <w:sz w:val="28"/>
        </w:rPr>
        <w:t>模型集成方式</w:t>
      </w:r>
    </w:p>
    <w:p>
      <w:pPr>
        <w:pStyle w:val="Style5"/>
        <w:spacing w:lineRule="auto" w:line="360" w:before="0" w:after="0"/>
        <w:ind w:firstLine="480" w:start="0" w:end="0"/>
        <w:jc w:val="both"/>
        <w:rPr/>
      </w:pPr>
      <w:r>
        <w:rPr>
          <w:rFonts w:ascii="Times New Roman" w:hAnsi="Times New Roman" w:cs="Times New Roman"/>
          <w:b w:val="false"/>
          <w:color w:val="000000"/>
          <w:sz w:val="24"/>
        </w:rPr>
        <w:t>模型采用本地模型包方式集成，必要时由同一程序包内的本地算法进程完成隔离调用。课题</w:t>
      </w:r>
      <w:r>
        <w:rPr>
          <w:rFonts w:eastAsia="仿宋" w:cs="Times New Roman"/>
          <w:b w:val="false"/>
          <w:color w:val="000000"/>
          <w:sz w:val="24"/>
        </w:rPr>
        <w:t>1—3</w:t>
      </w:r>
      <w:r>
        <w:rPr>
          <w:rFonts w:ascii="Times New Roman" w:hAnsi="Times New Roman" w:cs="Times New Roman"/>
          <w:b w:val="false"/>
          <w:color w:val="000000"/>
          <w:sz w:val="24"/>
        </w:rPr>
        <w:t>形成并经确认的模型通过统一模型适配器接入，业务服务负责从</w:t>
      </w:r>
      <w:r>
        <w:rPr>
          <w:rFonts w:eastAsia="仿宋" w:cs="Times New Roman"/>
          <w:b w:val="false"/>
          <w:color w:val="000000"/>
          <w:sz w:val="24"/>
        </w:rPr>
        <w:t>SQLite</w:t>
      </w:r>
      <w:r>
        <w:rPr>
          <w:rFonts w:ascii="Times New Roman" w:hAnsi="Times New Roman" w:cs="Times New Roman"/>
          <w:b w:val="false"/>
          <w:color w:val="000000"/>
          <w:sz w:val="24"/>
        </w:rPr>
        <w:t>及项目文件中组织模型输入，完成字段映射、单位转换、模型执行、异常捕获和结果转换。模型文件与参数文件按负荷类型和版本独立存放，可通过离线模型版本包更新，不要求重新部署服务器环境。</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模型接口要素</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要求</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模型标识</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模型名称、来源课题、版本和适用对象。</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输入定义</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字段名称、类型、单位、是否必填和维度。</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参数定义</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默认值、合理范围、可否由用户调整。</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输出定义</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预测指标、时间粒度、结果维度和单位。</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示例数据</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提供一套可独立运行的输入和对应输出。</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异常信息</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明确缺失字段、参数越界、计算失败等错误码和提示。</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50" w:name="__RefHeading___Toc4008_1443650120"/>
      <w:bookmarkEnd w:id="50"/>
      <w:r>
        <w:rPr>
          <w:rFonts w:ascii="Times New Roman" w:hAnsi="Times New Roman" w:cs="Times New Roman"/>
          <w:b/>
          <w:color w:val="000000"/>
          <w:sz w:val="28"/>
        </w:rPr>
        <w:t>版本追溯关系</w:t>
      </w:r>
    </w:p>
    <w:p>
      <w:pPr>
        <w:pStyle w:val="Style5"/>
        <w:spacing w:lineRule="auto" w:line="360" w:before="0" w:after="0"/>
        <w:ind w:firstLine="480" w:start="0" w:end="0"/>
        <w:jc w:val="both"/>
        <w:rPr/>
      </w:pPr>
      <w:r>
        <w:rPr>
          <w:rFonts w:ascii="Times New Roman" w:hAnsi="Times New Roman" w:cs="Times New Roman"/>
          <w:b w:val="false"/>
          <w:color w:val="000000"/>
          <w:sz w:val="24"/>
        </w:rPr>
        <w:t>每一项正式预测结果应同时关联项目编号、输入数据版本、情景参数版本、模型版本和结果版本。源荷匹配结果还需关联负荷预测版本和电源规划方案版本。通过版本关系可还原任一结果的计算条件。</w:t>
      </w:r>
    </w:p>
    <w:p>
      <w:pPr>
        <w:pStyle w:val="Heading1"/>
        <w:keepNext w:val="true"/>
        <w:spacing w:before="200" w:after="100"/>
        <w:ind w:hanging="0" w:start="0" w:end="0"/>
        <w:rPr/>
      </w:pPr>
      <w:bookmarkStart w:id="51" w:name="__RefHeading___Toc4010_1443650120"/>
      <w:bookmarkEnd w:id="51"/>
      <w:r>
        <w:rPr>
          <w:rFonts w:ascii="Times New Roman" w:hAnsi="Times New Roman" w:cs="Times New Roman"/>
          <w:b/>
          <w:color w:val="000000"/>
          <w:sz w:val="32"/>
        </w:rPr>
        <w:t>技术架构与部署方案</w:t>
      </w:r>
    </w:p>
    <w:p>
      <w:pPr>
        <w:pStyle w:val="Heading2"/>
        <w:keepNext w:val="true"/>
        <w:spacing w:before="120" w:after="100"/>
        <w:ind w:hanging="0" w:start="0" w:end="0"/>
        <w:rPr/>
      </w:pPr>
      <w:bookmarkStart w:id="52" w:name="__RefHeading___Toc4012_1443650120"/>
      <w:bookmarkEnd w:id="52"/>
      <w:r>
        <w:rPr>
          <w:rFonts w:ascii="Times New Roman" w:hAnsi="Times New Roman" w:cs="Times New Roman"/>
          <w:b/>
          <w:color w:val="000000"/>
          <w:sz w:val="28"/>
        </w:rPr>
        <w:t>总体技术架构</w:t>
      </w:r>
    </w:p>
    <w:p>
      <w:pPr>
        <w:pStyle w:val="Style5"/>
        <w:spacing w:lineRule="auto" w:line="360" w:before="0" w:after="0"/>
        <w:ind w:firstLine="480" w:start="0" w:end="0"/>
        <w:jc w:val="both"/>
        <w:rPr/>
      </w:pPr>
      <w:r>
        <w:rPr>
          <w:rFonts w:ascii="Times New Roman" w:hAnsi="Times New Roman" w:cs="Times New Roman"/>
          <w:b w:val="false"/>
          <w:color w:val="000000"/>
          <w:sz w:val="24"/>
        </w:rPr>
        <w:t>系统采用“本机浏览器—本地业务服务—</w:t>
      </w:r>
      <w:r>
        <w:rPr>
          <w:rFonts w:eastAsia="仿宋" w:cs="Times New Roman"/>
          <w:b w:val="false"/>
          <w:color w:val="000000"/>
          <w:sz w:val="24"/>
        </w:rPr>
        <w:t>Python</w:t>
      </w:r>
      <w:r>
        <w:rPr>
          <w:rFonts w:ascii="Times New Roman" w:hAnsi="Times New Roman" w:cs="Times New Roman"/>
          <w:b w:val="false"/>
          <w:color w:val="000000"/>
          <w:sz w:val="24"/>
        </w:rPr>
        <w:t>算法引擎—</w:t>
      </w:r>
      <w:r>
        <w:rPr>
          <w:rFonts w:eastAsia="仿宋" w:cs="Times New Roman"/>
          <w:b w:val="false"/>
          <w:color w:val="000000"/>
          <w:sz w:val="24"/>
        </w:rPr>
        <w:t>SQLite</w:t>
      </w:r>
      <w:r>
        <w:rPr>
          <w:rFonts w:ascii="Times New Roman" w:hAnsi="Times New Roman" w:cs="Times New Roman"/>
          <w:b w:val="false"/>
          <w:color w:val="000000"/>
          <w:sz w:val="24"/>
        </w:rPr>
        <w:t>数据库与本地文件目录”的单机离线技术架构。统一启动程序负责检查运行目录、启动本地业务服务并自动打开浏览器，业务服务仅监听本机回环地址。前端静态资源、后端程序、算法依赖、模型资源和数据存储随</w:t>
      </w:r>
      <w:r>
        <w:rPr>
          <w:rFonts w:eastAsia="仿宋" w:cs="Times New Roman"/>
          <w:b w:val="false"/>
          <w:color w:val="000000"/>
          <w:sz w:val="24"/>
        </w:rPr>
        <w:t>ZIP</w:t>
      </w:r>
      <w:r>
        <w:rPr>
          <w:rFonts w:ascii="Times New Roman" w:hAnsi="Times New Roman" w:cs="Times New Roman"/>
          <w:b w:val="false"/>
          <w:color w:val="000000"/>
          <w:sz w:val="24"/>
        </w:rPr>
        <w:t>一并交付，从而降低现场安装和环境配置复杂度。</w:t>
      </w:r>
    </w:p>
    <w:p>
      <w:pPr>
        <w:pStyle w:val="Normal"/>
        <w:ind w:hanging="0"/>
        <w:jc w:val="center"/>
        <w:rPr/>
      </w:pPr>
      <w:r>
        <w:rPr/>
        <w:drawing>
          <wp:inline distT="0" distB="0" distL="0" distR="0">
            <wp:extent cx="5400040" cy="2532380"/>
            <wp:effectExtent l="0" t="0" r="0" b="0"/>
            <wp:docPr id="7"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descr="" title=""/>
                    <pic:cNvPicPr>
                      <a:picLocks noChangeAspect="1" noChangeArrowheads="1"/>
                    </pic:cNvPicPr>
                  </pic:nvPicPr>
                  <pic:blipFill>
                    <a:blip r:embed="rId8"/>
                    <a:stretch>
                      <a:fillRect/>
                    </a:stretch>
                  </pic:blipFill>
                  <pic:spPr bwMode="auto">
                    <a:xfrm>
                      <a:off x="0" y="0"/>
                      <a:ext cx="5400040" cy="2532380"/>
                    </a:xfrm>
                    <a:prstGeom prst="rect">
                      <a:avLst/>
                    </a:prstGeom>
                    <a:noFill/>
                  </pic:spPr>
                </pic:pic>
              </a:graphicData>
            </a:graphic>
          </wp:inline>
        </w:drawing>
      </w:r>
    </w:p>
    <w:p>
      <w:pPr>
        <w:pStyle w:val="Caption"/>
        <w:ind w:hanging="0"/>
        <w:jc w:val="center"/>
        <w:rPr/>
      </w:pPr>
      <w:r>
        <w:rPr>
          <w:rFonts w:ascii="Times New Roman" w:hAnsi="Times New Roman" w:cs="Times New Roman"/>
          <w:b w:val="false"/>
          <w:color w:val="000000"/>
          <w:sz w:val="21"/>
        </w:rPr>
        <w:t>图</w:t>
      </w:r>
      <w:r>
        <w:rPr>
          <w:rFonts w:eastAsia="黑体" w:cs="Times New Roman"/>
          <w:b w:val="false"/>
          <w:color w:val="000000"/>
          <w:sz w:val="21"/>
        </w:rPr>
        <w:t xml:space="preserve">9-1 </w:t>
      </w:r>
      <w:r>
        <w:rPr>
          <w:rFonts w:ascii="Times New Roman" w:hAnsi="Times New Roman" w:cs="Times New Roman"/>
          <w:b w:val="false"/>
          <w:color w:val="000000"/>
          <w:sz w:val="21"/>
        </w:rPr>
        <w:t>单机离线便携式技术架构</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层级</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主要职责</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建议技术</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本机交互层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项目、表单、数据表格、曲线图和结果展示。</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 xml:space="preserve">本机浏览器 </w:t>
            </w:r>
            <w:r>
              <w:rPr>
                <w:rFonts w:eastAsia="仿宋" w:cs="Times New Roman"/>
                <w:b w:val="false"/>
                <w:color w:val="000000"/>
                <w:kern w:val="0"/>
                <w:sz w:val="21"/>
                <w:szCs w:val="22"/>
                <w:lang w:val="en-US" w:eastAsia="en-US" w:bidi="ar-SA"/>
              </w:rPr>
              <w:t>+ Vue 3</w:t>
            </w:r>
            <w:r>
              <w:rPr>
                <w:rFonts w:ascii="Times New Roman" w:hAnsi="Times New Roman" w:cs="Times New Roman"/>
                <w:b w:val="false"/>
                <w:color w:val="000000"/>
                <w:kern w:val="0"/>
                <w:sz w:val="21"/>
                <w:szCs w:val="22"/>
                <w:lang w:val="en-US" w:eastAsia="en-US" w:bidi="ar-SA"/>
              </w:rPr>
              <w:t>、</w:t>
            </w:r>
            <w:r>
              <w:rPr>
                <w:rFonts w:eastAsia="仿宋" w:cs="Times New Roman"/>
                <w:b w:val="false"/>
                <w:color w:val="000000"/>
                <w:kern w:val="0"/>
                <w:sz w:val="21"/>
                <w:szCs w:val="22"/>
                <w:lang w:val="en-US" w:eastAsia="en-US" w:bidi="ar-SA"/>
              </w:rPr>
              <w:t>Element Plus</w:t>
            </w:r>
            <w:r>
              <w:rPr>
                <w:rFonts w:ascii="Times New Roman" w:hAnsi="Times New Roman" w:cs="Times New Roman"/>
                <w:b w:val="false"/>
                <w:color w:val="000000"/>
                <w:kern w:val="0"/>
                <w:sz w:val="21"/>
                <w:szCs w:val="22"/>
                <w:lang w:val="en-US" w:eastAsia="en-US" w:bidi="ar-SA"/>
              </w:rPr>
              <w:t>、</w:t>
            </w:r>
            <w:r>
              <w:rPr>
                <w:rFonts w:eastAsia="仿宋" w:cs="Times New Roman"/>
                <w:b w:val="false"/>
                <w:color w:val="000000"/>
                <w:kern w:val="0"/>
                <w:sz w:val="21"/>
                <w:szCs w:val="22"/>
                <w:lang w:val="en-US" w:eastAsia="en-US" w:bidi="ar-SA"/>
              </w:rPr>
              <w:t>ECharts</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本地业务服务层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项目管理、数据导入、任务执行、结果查询和报告生成；仅监听</w:t>
            </w:r>
            <w:r>
              <w:rPr>
                <w:rFonts w:eastAsia="仿宋" w:cs="Times New Roman"/>
                <w:b w:val="false"/>
                <w:color w:val="000000"/>
                <w:kern w:val="0"/>
                <w:sz w:val="21"/>
                <w:szCs w:val="22"/>
                <w:lang w:val="en-US" w:eastAsia="en-US" w:bidi="ar-SA"/>
              </w:rPr>
              <w:t>127.0.0.1</w:t>
            </w:r>
            <w:r>
              <w:rPr>
                <w:rFonts w:ascii="Times New Roman" w:hAnsi="Times New Roman" w:cs="Times New Roman"/>
                <w:b w:val="false"/>
                <w:color w:val="000000"/>
                <w:kern w:val="0"/>
                <w:sz w:val="21"/>
                <w:szCs w:val="22"/>
                <w:lang w:val="en-US" w:eastAsia="en-US" w:bidi="ar-SA"/>
              </w:rPr>
              <w:t>。</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Python FastAPI</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算法引擎层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模型输入转换、模型运行、结果解析和异常捕获。</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Python</w:t>
            </w:r>
            <w:r>
              <w:rPr>
                <w:rFonts w:ascii="Times New Roman" w:hAnsi="Times New Roman" w:cs="Times New Roman"/>
                <w:b w:val="false"/>
                <w:color w:val="000000"/>
                <w:kern w:val="0"/>
                <w:sz w:val="21"/>
                <w:szCs w:val="22"/>
                <w:lang w:val="en-US" w:eastAsia="en-US" w:bidi="ar-SA"/>
              </w:rPr>
              <w:t>、</w:t>
            </w:r>
            <w:r>
              <w:rPr>
                <w:rFonts w:eastAsia="仿宋" w:cs="Times New Roman"/>
                <w:b w:val="false"/>
                <w:color w:val="000000"/>
                <w:kern w:val="0"/>
                <w:sz w:val="21"/>
                <w:szCs w:val="22"/>
                <w:lang w:val="en-US" w:eastAsia="en-US" w:bidi="ar-SA"/>
              </w:rPr>
              <w:t>NumPy</w:t>
            </w:r>
            <w:r>
              <w:rPr>
                <w:rFonts w:ascii="Times New Roman" w:hAnsi="Times New Roman" w:cs="Times New Roman"/>
                <w:b w:val="false"/>
                <w:color w:val="000000"/>
                <w:kern w:val="0"/>
                <w:sz w:val="21"/>
                <w:szCs w:val="22"/>
                <w:lang w:val="en-US" w:eastAsia="en-US" w:bidi="ar-SA"/>
              </w:rPr>
              <w:t>、</w:t>
            </w:r>
            <w:r>
              <w:rPr>
                <w:rFonts w:eastAsia="仿宋" w:cs="Times New Roman"/>
                <w:b w:val="false"/>
                <w:color w:val="000000"/>
                <w:kern w:val="0"/>
                <w:sz w:val="21"/>
                <w:szCs w:val="22"/>
                <w:lang w:val="en-US" w:eastAsia="en-US" w:bidi="ar-SA"/>
              </w:rPr>
              <w:t>Pandas</w:t>
            </w:r>
            <w:r>
              <w:rPr>
                <w:rFonts w:ascii="Times New Roman" w:hAnsi="Times New Roman" w:cs="Times New Roman"/>
                <w:b w:val="false"/>
                <w:color w:val="000000"/>
                <w:kern w:val="0"/>
                <w:sz w:val="21"/>
                <w:szCs w:val="22"/>
                <w:lang w:val="en-US" w:eastAsia="en-US" w:bidi="ar-SA"/>
              </w:rPr>
              <w:t>及模型依赖库。</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本地数据层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项目、参数、版本、运行记录和结构化结果。</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本地文件层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原始</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、模型文件、中间结果、导出结果和</w:t>
            </w:r>
            <w:r>
              <w:rPr>
                <w:rFonts w:eastAsia="仿宋" w:cs="Times New Roman"/>
                <w:b w:val="false"/>
                <w:color w:val="000000"/>
                <w:kern w:val="0"/>
                <w:sz w:val="21"/>
                <w:szCs w:val="22"/>
                <w:lang w:val="en-US" w:eastAsia="en-US" w:bidi="ar-SA"/>
              </w:rPr>
              <w:t>Word</w:t>
            </w:r>
            <w:r>
              <w:rPr>
                <w:rFonts w:ascii="Times New Roman" w:hAnsi="Times New Roman" w:cs="Times New Roman"/>
                <w:b w:val="false"/>
                <w:color w:val="000000"/>
                <w:kern w:val="0"/>
                <w:sz w:val="21"/>
                <w:szCs w:val="22"/>
                <w:lang w:val="en-US" w:eastAsia="en-US" w:bidi="ar-SA"/>
              </w:rPr>
              <w:t>报告。</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相对路径本地文件目录。</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启动与打包层</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启动</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停止本地服务、环境检查、浏览器拉起和免安装交付。</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Windows</w:t>
            </w:r>
            <w:r>
              <w:rPr>
                <w:rFonts w:ascii="Times New Roman" w:hAnsi="Times New Roman" w:cs="Times New Roman"/>
                <w:b w:val="false"/>
                <w:color w:val="000000"/>
                <w:kern w:val="0"/>
                <w:sz w:val="21"/>
                <w:szCs w:val="22"/>
                <w:lang w:val="en-US" w:eastAsia="en-US" w:bidi="ar-SA"/>
              </w:rPr>
              <w:t xml:space="preserve">启动程序 </w:t>
            </w:r>
            <w:r>
              <w:rPr>
                <w:rFonts w:eastAsia="仿宋" w:cs="Times New Roman"/>
                <w:b w:val="false"/>
                <w:color w:val="000000"/>
                <w:kern w:val="0"/>
                <w:sz w:val="21"/>
                <w:szCs w:val="22"/>
                <w:lang w:val="en-US" w:eastAsia="en-US" w:bidi="ar-SA"/>
              </w:rPr>
              <w:t>+ PyInstaller onedir</w:t>
            </w:r>
            <w:r>
              <w:rPr>
                <w:rFonts w:ascii="Times New Roman" w:hAnsi="Times New Roman" w:cs="Times New Roman"/>
                <w:b w:val="false"/>
                <w:color w:val="000000"/>
                <w:kern w:val="0"/>
                <w:sz w:val="21"/>
                <w:szCs w:val="22"/>
                <w:lang w:val="en-US" w:eastAsia="en-US" w:bidi="ar-SA"/>
              </w:rPr>
              <w:t>或等效便携式封装方式。</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53" w:name="__RefHeading___Toc4014_1443650120"/>
      <w:bookmarkEnd w:id="53"/>
      <w:r>
        <w:rPr>
          <w:rFonts w:ascii="Times New Roman" w:hAnsi="Times New Roman" w:cs="Times New Roman"/>
          <w:b/>
          <w:color w:val="000000"/>
          <w:sz w:val="28"/>
        </w:rPr>
        <w:t>前端技术方案</w:t>
      </w:r>
    </w:p>
    <w:p>
      <w:pPr>
        <w:pStyle w:val="Style5"/>
        <w:spacing w:lineRule="auto" w:line="360" w:before="0" w:after="0"/>
        <w:ind w:firstLine="480" w:start="0" w:end="0"/>
        <w:jc w:val="both"/>
        <w:rPr/>
      </w:pPr>
      <w:r>
        <w:rPr>
          <w:rFonts w:ascii="Times New Roman" w:hAnsi="Times New Roman" w:cs="Times New Roman"/>
          <w:b w:val="false"/>
          <w:color w:val="000000"/>
          <w:sz w:val="24"/>
        </w:rPr>
        <w:t>前端采用组件化页面开发，主要包括项目列表、数据导入、数据查看、情景参数、预测任务、预测结果、源荷匹配、方案对比和报告输出页面。图表统一采用</w:t>
      </w:r>
      <w:r>
        <w:rPr>
          <w:rFonts w:eastAsia="仿宋" w:cs="Times New Roman"/>
          <w:b w:val="false"/>
          <w:color w:val="000000"/>
          <w:sz w:val="24"/>
        </w:rPr>
        <w:t>ECharts</w:t>
      </w:r>
      <w:r>
        <w:rPr>
          <w:rFonts w:ascii="Times New Roman" w:hAnsi="Times New Roman" w:cs="Times New Roman"/>
          <w:b w:val="false"/>
          <w:color w:val="000000"/>
          <w:sz w:val="24"/>
        </w:rPr>
        <w:t>，以年度趋势图、堆叠图、时序曲线和区间图为主。</w:t>
      </w:r>
    </w:p>
    <w:p>
      <w:pPr>
        <w:pStyle w:val="Heading2"/>
        <w:keepNext w:val="true"/>
        <w:spacing w:before="120" w:after="100"/>
        <w:ind w:hanging="0" w:start="0" w:end="0"/>
        <w:rPr/>
      </w:pPr>
      <w:bookmarkStart w:id="54" w:name="__RefHeading___Toc4016_1443650120"/>
      <w:bookmarkEnd w:id="54"/>
      <w:r>
        <w:rPr>
          <w:rFonts w:ascii="Times New Roman" w:hAnsi="Times New Roman" w:cs="Times New Roman"/>
          <w:b/>
          <w:color w:val="000000"/>
          <w:sz w:val="28"/>
        </w:rPr>
        <w:t>后端与算法集成方案</w:t>
      </w:r>
    </w:p>
    <w:p>
      <w:pPr>
        <w:pStyle w:val="Style5"/>
        <w:spacing w:lineRule="auto" w:line="360" w:before="0" w:after="0"/>
        <w:ind w:firstLine="480" w:start="0" w:end="0"/>
        <w:jc w:val="both"/>
        <w:rPr/>
      </w:pPr>
      <w:r>
        <w:rPr>
          <w:rFonts w:ascii="Times New Roman" w:hAnsi="Times New Roman" w:cs="Times New Roman"/>
          <w:b w:val="false"/>
          <w:color w:val="000000"/>
          <w:sz w:val="24"/>
        </w:rPr>
        <w:t>后端负责接收前端请求、校验数据、组织模型输入、触发模型运行、保存结果和生成导出文件。算法模型与业务代码分目录管理，通过统一模型适配器调用。每个模型适配器完成字段映射、单位转换、参数组装、结果格式化和异常处理。</w:t>
      </w:r>
    </w:p>
    <w:p>
      <w:pPr>
        <w:pStyle w:val="Heading2"/>
        <w:keepNext w:val="true"/>
        <w:spacing w:before="120" w:after="100"/>
        <w:ind w:hanging="0" w:start="0" w:end="0"/>
        <w:rPr/>
      </w:pPr>
      <w:bookmarkStart w:id="55" w:name="__RefHeading___Toc4018_1443650120"/>
      <w:bookmarkEnd w:id="55"/>
      <w:r>
        <w:rPr>
          <w:rFonts w:ascii="Times New Roman" w:hAnsi="Times New Roman" w:cs="Times New Roman"/>
          <w:b/>
          <w:color w:val="000000"/>
          <w:sz w:val="28"/>
        </w:rPr>
        <w:t>数据与文件存储方案</w:t>
      </w:r>
    </w:p>
    <w:p>
      <w:pPr>
        <w:pStyle w:val="Style5"/>
        <w:spacing w:lineRule="auto" w:line="360" w:before="0" w:after="0"/>
        <w:ind w:firstLine="480" w:start="0" w:end="0"/>
        <w:jc w:val="both"/>
        <w:rPr/>
      </w:pPr>
      <w:r>
        <w:rPr>
          <w:rFonts w:ascii="Times New Roman" w:hAnsi="Times New Roman" w:cs="Times New Roman"/>
          <w:b w:val="false"/>
          <w:color w:val="000000"/>
          <w:sz w:val="24"/>
        </w:rPr>
        <w:t>结构化业务数据统一存入</w:t>
      </w:r>
      <w:r>
        <w:rPr>
          <w:rFonts w:eastAsia="仿宋" w:cs="Times New Roman"/>
          <w:b w:val="false"/>
          <w:color w:val="000000"/>
          <w:sz w:val="24"/>
        </w:rPr>
        <w:t>SQLite</w:t>
      </w:r>
      <w:r>
        <w:rPr>
          <w:rFonts w:ascii="Times New Roman" w:hAnsi="Times New Roman" w:cs="Times New Roman"/>
          <w:b w:val="false"/>
          <w:color w:val="000000"/>
          <w:sz w:val="24"/>
        </w:rPr>
        <w:t>本地数据库；原始导入文件、模型文件、算法中间结果、导出</w:t>
      </w:r>
      <w:r>
        <w:rPr>
          <w:rFonts w:eastAsia="仿宋" w:cs="Times New Roman"/>
          <w:b w:val="false"/>
          <w:color w:val="000000"/>
          <w:sz w:val="24"/>
        </w:rPr>
        <w:t>Excel</w:t>
      </w:r>
      <w:r>
        <w:rPr>
          <w:rFonts w:ascii="Times New Roman" w:hAnsi="Times New Roman" w:cs="Times New Roman"/>
          <w:b w:val="false"/>
          <w:color w:val="000000"/>
          <w:sz w:val="24"/>
        </w:rPr>
        <w:t>和</w:t>
      </w:r>
      <w:r>
        <w:rPr>
          <w:rFonts w:eastAsia="仿宋" w:cs="Times New Roman"/>
          <w:b w:val="false"/>
          <w:color w:val="000000"/>
          <w:sz w:val="24"/>
        </w:rPr>
        <w:t>Word</w:t>
      </w:r>
      <w:r>
        <w:rPr>
          <w:rFonts w:ascii="Times New Roman" w:hAnsi="Times New Roman" w:cs="Times New Roman"/>
          <w:b w:val="false"/>
          <w:color w:val="000000"/>
          <w:sz w:val="24"/>
        </w:rPr>
        <w:t>报告采用本地文件目录存储。文件目录按照项目、模型和成果类型分层组织，</w:t>
      </w:r>
      <w:r>
        <w:rPr>
          <w:rFonts w:eastAsia="仿宋" w:cs="Times New Roman"/>
          <w:b w:val="false"/>
          <w:color w:val="000000"/>
          <w:sz w:val="24"/>
        </w:rPr>
        <w:t>SQLite</w:t>
      </w:r>
      <w:r>
        <w:rPr>
          <w:rFonts w:ascii="Times New Roman" w:hAnsi="Times New Roman" w:cs="Times New Roman"/>
          <w:b w:val="false"/>
          <w:color w:val="000000"/>
          <w:sz w:val="24"/>
        </w:rPr>
        <w:t>记录文件相对路径、版本、生成时间和状态，实现单机条件下的数据追溯与备份。</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目录</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存储内容</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./app/</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前端静态资源、本地业务程序及运行依赖。</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./models/{</w:t>
            </w:r>
            <w:r>
              <w:rPr>
                <w:rFonts w:ascii="Times New Roman" w:hAnsi="Times New Roman" w:cs="Times New Roman"/>
                <w:b w:val="false"/>
                <w:color w:val="000000"/>
                <w:kern w:val="0"/>
                <w:sz w:val="21"/>
                <w:szCs w:val="22"/>
                <w:lang w:val="en-US" w:eastAsia="en-US" w:bidi="ar-SA"/>
              </w:rPr>
              <w:t>模型编号</w:t>
            </w:r>
            <w:r>
              <w:rPr>
                <w:rFonts w:eastAsia="仿宋" w:cs="Times New Roman"/>
                <w:b w:val="false"/>
                <w:color w:val="000000"/>
                <w:kern w:val="0"/>
                <w:sz w:val="21"/>
                <w:szCs w:val="22"/>
                <w:lang w:val="en-US" w:eastAsia="en-US" w:bidi="ar-SA"/>
              </w:rPr>
              <w:t>}/{</w:t>
            </w:r>
            <w:r>
              <w:rPr>
                <w:rFonts w:ascii="Times New Roman" w:hAnsi="Times New Roman" w:cs="Times New Roman"/>
                <w:b w:val="false"/>
                <w:color w:val="000000"/>
                <w:kern w:val="0"/>
                <w:sz w:val="21"/>
                <w:szCs w:val="22"/>
                <w:lang w:val="en-US" w:eastAsia="en-US" w:bidi="ar-SA"/>
              </w:rPr>
              <w:t>版本</w:t>
            </w:r>
            <w:r>
              <w:rPr>
                <w:rFonts w:eastAsia="仿宋" w:cs="Times New Roman"/>
                <w:b w:val="false"/>
                <w:color w:val="000000"/>
                <w:kern w:val="0"/>
                <w:sz w:val="21"/>
                <w:szCs w:val="22"/>
                <w:lang w:val="en-US" w:eastAsia="en-US" w:bidi="ar-SA"/>
              </w:rPr>
              <w:t>}/</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预测模型、参数文件和接口说明。</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./data/app.db</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本地数据库。</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./projects/{</w:t>
            </w:r>
            <w:r>
              <w:rPr>
                <w:rFonts w:ascii="Times New Roman" w:hAnsi="Times New Roman" w:cs="Times New Roman"/>
                <w:b w:val="false"/>
                <w:color w:val="000000"/>
                <w:kern w:val="0"/>
                <w:sz w:val="21"/>
                <w:szCs w:val="22"/>
                <w:lang w:val="en-US" w:eastAsia="en-US" w:bidi="ar-SA"/>
              </w:rPr>
              <w:t>项目编号</w:t>
            </w:r>
            <w:r>
              <w:rPr>
                <w:rFonts w:eastAsia="仿宋" w:cs="Times New Roman"/>
                <w:b w:val="false"/>
                <w:color w:val="000000"/>
                <w:kern w:val="0"/>
                <w:sz w:val="21"/>
                <w:szCs w:val="22"/>
                <w:lang w:val="en-US" w:eastAsia="en-US" w:bidi="ar-SA"/>
              </w:rPr>
              <w:t>}/input/</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项目原始</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及补充数据文件。</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./projects/{</w:t>
            </w:r>
            <w:r>
              <w:rPr>
                <w:rFonts w:ascii="Times New Roman" w:hAnsi="Times New Roman" w:cs="Times New Roman"/>
                <w:b w:val="false"/>
                <w:color w:val="000000"/>
                <w:kern w:val="0"/>
                <w:sz w:val="21"/>
                <w:szCs w:val="22"/>
                <w:lang w:val="en-US" w:eastAsia="en-US" w:bidi="ar-SA"/>
              </w:rPr>
              <w:t>项目编号</w:t>
            </w:r>
            <w:r>
              <w:rPr>
                <w:rFonts w:eastAsia="仿宋" w:cs="Times New Roman"/>
                <w:b w:val="false"/>
                <w:color w:val="000000"/>
                <w:kern w:val="0"/>
                <w:sz w:val="21"/>
                <w:szCs w:val="22"/>
                <w:lang w:val="en-US" w:eastAsia="en-US" w:bidi="ar-SA"/>
              </w:rPr>
              <w:t>}/result/</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模型输出、校核结果和源荷匹配结果。</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./reports/{</w:t>
            </w:r>
            <w:r>
              <w:rPr>
                <w:rFonts w:ascii="Times New Roman" w:hAnsi="Times New Roman" w:cs="Times New Roman"/>
                <w:b w:val="false"/>
                <w:color w:val="000000"/>
                <w:kern w:val="0"/>
                <w:sz w:val="21"/>
                <w:szCs w:val="22"/>
                <w:lang w:val="en-US" w:eastAsia="en-US" w:bidi="ar-SA"/>
              </w:rPr>
              <w:t>项目编号</w:t>
            </w:r>
            <w:r>
              <w:rPr>
                <w:rFonts w:eastAsia="仿宋" w:cs="Times New Roman"/>
                <w:b w:val="false"/>
                <w:color w:val="000000"/>
                <w:kern w:val="0"/>
                <w:sz w:val="21"/>
                <w:szCs w:val="22"/>
                <w:lang w:val="en-US" w:eastAsia="en-US" w:bidi="ar-SA"/>
              </w:rPr>
              <w:t>}/</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导出的</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、图表和</w:t>
            </w:r>
            <w:r>
              <w:rPr>
                <w:rFonts w:eastAsia="仿宋" w:cs="Times New Roman"/>
                <w:b w:val="false"/>
                <w:color w:val="000000"/>
                <w:kern w:val="0"/>
                <w:sz w:val="21"/>
                <w:szCs w:val="22"/>
                <w:lang w:val="en-US" w:eastAsia="en-US" w:bidi="ar-SA"/>
              </w:rPr>
              <w:t>Word</w:t>
            </w:r>
            <w:r>
              <w:rPr>
                <w:rFonts w:ascii="Times New Roman" w:hAnsi="Times New Roman" w:cs="Times New Roman"/>
                <w:b w:val="false"/>
                <w:color w:val="000000"/>
                <w:kern w:val="0"/>
                <w:sz w:val="21"/>
                <w:szCs w:val="22"/>
                <w:lang w:val="en-US" w:eastAsia="en-US" w:bidi="ar-SA"/>
              </w:rPr>
              <w:t>报告。</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./logs/</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程序启动、模型运行和异常日志。</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./backup/</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SQLite</w:t>
            </w:r>
            <w:r>
              <w:rPr>
                <w:rFonts w:ascii="Times New Roman" w:hAnsi="Times New Roman" w:cs="Times New Roman"/>
                <w:b w:val="false"/>
                <w:color w:val="000000"/>
                <w:kern w:val="0"/>
                <w:sz w:val="21"/>
                <w:szCs w:val="22"/>
                <w:lang w:val="en-US" w:eastAsia="en-US" w:bidi="ar-SA"/>
              </w:rPr>
              <w:t>数据库和关键项目文件备份。</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56" w:name="__RefHeading___Toc4020_1443650120"/>
      <w:bookmarkEnd w:id="56"/>
      <w:r>
        <w:rPr>
          <w:rFonts w:ascii="Times New Roman" w:hAnsi="Times New Roman" w:cs="Times New Roman"/>
          <w:b/>
          <w:color w:val="000000"/>
          <w:sz w:val="28"/>
        </w:rPr>
        <w:t>本地部署方案</w:t>
      </w:r>
    </w:p>
    <w:p>
      <w:pPr>
        <w:pStyle w:val="Style5"/>
        <w:spacing w:lineRule="auto" w:line="360" w:before="0" w:after="0"/>
        <w:ind w:firstLine="480" w:start="0" w:end="0"/>
        <w:jc w:val="both"/>
        <w:rPr/>
      </w:pPr>
      <w:r>
        <w:rPr>
          <w:rFonts w:ascii="Times New Roman" w:hAnsi="Times New Roman" w:cs="Times New Roman"/>
          <w:b w:val="false"/>
          <w:color w:val="000000"/>
          <w:sz w:val="24"/>
        </w:rPr>
        <w:t>系统以</w:t>
      </w:r>
      <w:r>
        <w:rPr>
          <w:rFonts w:eastAsia="仿宋" w:cs="Times New Roman"/>
          <w:b w:val="false"/>
          <w:color w:val="000000"/>
          <w:sz w:val="24"/>
        </w:rPr>
        <w:t>Windows</w:t>
      </w:r>
      <w:r>
        <w:rPr>
          <w:rFonts w:ascii="Times New Roman" w:hAnsi="Times New Roman" w:cs="Times New Roman"/>
          <w:b w:val="false"/>
          <w:color w:val="000000"/>
          <w:sz w:val="24"/>
        </w:rPr>
        <w:t>免安装</w:t>
      </w:r>
      <w:r>
        <w:rPr>
          <w:rFonts w:eastAsia="仿宋" w:cs="Times New Roman"/>
          <w:b w:val="false"/>
          <w:color w:val="000000"/>
          <w:sz w:val="24"/>
        </w:rPr>
        <w:t>ZIP</w:t>
      </w:r>
      <w:r>
        <w:rPr>
          <w:rFonts w:ascii="Times New Roman" w:hAnsi="Times New Roman" w:cs="Times New Roman"/>
          <w:b w:val="false"/>
          <w:color w:val="000000"/>
          <w:sz w:val="24"/>
        </w:rPr>
        <w:t>形式交付，不进行服务器部署。用户将</w:t>
      </w:r>
      <w:r>
        <w:rPr>
          <w:rFonts w:eastAsia="仿宋" w:cs="Times New Roman"/>
          <w:b w:val="false"/>
          <w:color w:val="000000"/>
          <w:sz w:val="24"/>
        </w:rPr>
        <w:t>ZIP</w:t>
      </w:r>
      <w:r>
        <w:rPr>
          <w:rFonts w:ascii="Times New Roman" w:hAnsi="Times New Roman" w:cs="Times New Roman"/>
          <w:b w:val="false"/>
          <w:color w:val="000000"/>
          <w:sz w:val="24"/>
        </w:rPr>
        <w:t>解压到本地目录后，双击“启动系统</w:t>
      </w:r>
      <w:r>
        <w:rPr>
          <w:rFonts w:eastAsia="仿宋" w:cs="Times New Roman"/>
          <w:b w:val="false"/>
          <w:color w:val="000000"/>
          <w:sz w:val="24"/>
        </w:rPr>
        <w:t>.exe”</w:t>
      </w:r>
      <w:r>
        <w:rPr>
          <w:rFonts w:ascii="Times New Roman" w:hAnsi="Times New Roman" w:cs="Times New Roman"/>
          <w:b w:val="false"/>
          <w:color w:val="000000"/>
          <w:sz w:val="24"/>
        </w:rPr>
        <w:t>即可使用。启动程序依次完成目录完整性检查、本地端口检查、</w:t>
      </w:r>
      <w:r>
        <w:rPr>
          <w:rFonts w:eastAsia="仿宋" w:cs="Times New Roman"/>
          <w:b w:val="false"/>
          <w:color w:val="000000"/>
          <w:sz w:val="24"/>
        </w:rPr>
        <w:t>SQLite</w:t>
      </w:r>
      <w:r>
        <w:rPr>
          <w:rFonts w:ascii="Times New Roman" w:hAnsi="Times New Roman" w:cs="Times New Roman"/>
          <w:b w:val="false"/>
          <w:color w:val="000000"/>
          <w:sz w:val="24"/>
        </w:rPr>
        <w:t>数据库初始化或读取、本地业务服务与算法环境启动，并自动打开默认浏览器访问</w:t>
      </w:r>
      <w:r>
        <w:rPr>
          <w:rFonts w:eastAsia="仿宋" w:cs="Times New Roman"/>
          <w:b w:val="false"/>
          <w:color w:val="000000"/>
          <w:sz w:val="24"/>
        </w:rPr>
        <w:t>127.0.0.1</w:t>
      </w:r>
      <w:r>
        <w:rPr>
          <w:rFonts w:ascii="Times New Roman" w:hAnsi="Times New Roman" w:cs="Times New Roman"/>
          <w:b w:val="false"/>
          <w:color w:val="000000"/>
          <w:sz w:val="24"/>
        </w:rPr>
        <w:t>本机地址。用户退出系统后，启动程序同步关闭本地服务。交付包应包含前端静态资源、后端程序、</w:t>
      </w:r>
      <w:r>
        <w:rPr>
          <w:rFonts w:eastAsia="仿宋" w:cs="Times New Roman"/>
          <w:b w:val="false"/>
          <w:color w:val="000000"/>
          <w:sz w:val="24"/>
        </w:rPr>
        <w:t>Python</w:t>
      </w:r>
      <w:r>
        <w:rPr>
          <w:rFonts w:ascii="Times New Roman" w:hAnsi="Times New Roman" w:cs="Times New Roman"/>
          <w:b w:val="false"/>
          <w:color w:val="000000"/>
          <w:sz w:val="24"/>
        </w:rPr>
        <w:t>算法运行环境、基础模型、</w:t>
      </w:r>
      <w:r>
        <w:rPr>
          <w:rFonts w:eastAsia="仿宋" w:cs="Times New Roman"/>
          <w:b w:val="false"/>
          <w:color w:val="000000"/>
          <w:sz w:val="24"/>
        </w:rPr>
        <w:t>SQLite</w:t>
      </w:r>
      <w:r>
        <w:rPr>
          <w:rFonts w:ascii="Times New Roman" w:hAnsi="Times New Roman" w:cs="Times New Roman"/>
          <w:b w:val="false"/>
          <w:color w:val="000000"/>
          <w:sz w:val="24"/>
        </w:rPr>
        <w:t>数据库模板、配置文件及报告模板；原则上不要求现场安装</w:t>
      </w:r>
      <w:r>
        <w:rPr>
          <w:rFonts w:eastAsia="仿宋" w:cs="Times New Roman"/>
          <w:b w:val="false"/>
          <w:color w:val="000000"/>
          <w:sz w:val="24"/>
        </w:rPr>
        <w:t>Python</w:t>
      </w:r>
      <w:r>
        <w:rPr>
          <w:rFonts w:ascii="Times New Roman" w:hAnsi="Times New Roman" w:cs="Times New Roman"/>
          <w:b w:val="false"/>
          <w:color w:val="000000"/>
          <w:sz w:val="24"/>
        </w:rPr>
        <w:t>、</w:t>
      </w:r>
      <w:r>
        <w:rPr>
          <w:rFonts w:eastAsia="仿宋" w:cs="Times New Roman"/>
          <w:b w:val="false"/>
          <w:color w:val="000000"/>
          <w:sz w:val="24"/>
        </w:rPr>
        <w:t>Node.js</w:t>
      </w:r>
      <w:r>
        <w:rPr>
          <w:rFonts w:ascii="Times New Roman" w:hAnsi="Times New Roman" w:cs="Times New Roman"/>
          <w:b w:val="false"/>
          <w:color w:val="000000"/>
          <w:sz w:val="24"/>
        </w:rPr>
        <w:t>、</w:t>
      </w:r>
      <w:r>
        <w:rPr>
          <w:rFonts w:eastAsia="仿宋" w:cs="Times New Roman"/>
          <w:b w:val="false"/>
          <w:color w:val="000000"/>
          <w:sz w:val="24"/>
        </w:rPr>
        <w:t>PostgreSQL</w:t>
      </w:r>
      <w:r>
        <w:rPr>
          <w:rFonts w:ascii="Times New Roman" w:hAnsi="Times New Roman" w:cs="Times New Roman"/>
          <w:b w:val="false"/>
          <w:color w:val="000000"/>
          <w:sz w:val="24"/>
        </w:rPr>
        <w:t>、</w:t>
      </w:r>
      <w:r>
        <w:rPr>
          <w:rFonts w:eastAsia="仿宋" w:cs="Times New Roman"/>
          <w:b w:val="false"/>
          <w:color w:val="000000"/>
          <w:sz w:val="24"/>
        </w:rPr>
        <w:t>Docker</w:t>
      </w:r>
      <w:r>
        <w:rPr>
          <w:rFonts w:ascii="Times New Roman" w:hAnsi="Times New Roman" w:cs="Times New Roman"/>
          <w:b w:val="false"/>
          <w:color w:val="000000"/>
          <w:sz w:val="24"/>
        </w:rPr>
        <w:t>等独立运行环境。模型与参数支持通过离线版本包更新，项目数据可通过</w:t>
      </w:r>
      <w:r>
        <w:rPr>
          <w:rFonts w:eastAsia="仿宋" w:cs="Times New Roman"/>
          <w:b w:val="false"/>
          <w:color w:val="000000"/>
          <w:sz w:val="24"/>
        </w:rPr>
        <w:t>SQLite</w:t>
      </w:r>
      <w:r>
        <w:rPr>
          <w:rFonts w:ascii="Times New Roman" w:hAnsi="Times New Roman" w:cs="Times New Roman"/>
          <w:b w:val="false"/>
          <w:color w:val="000000"/>
          <w:sz w:val="24"/>
        </w:rPr>
        <w:t>数据库文件和项目目录整体备份恢复。</w:t>
      </w:r>
    </w:p>
    <w:p>
      <w:pPr>
        <w:pStyle w:val="Style5"/>
        <w:spacing w:lineRule="auto" w:line="360"/>
        <w:ind w:firstLine="480" w:start="0" w:end="0"/>
        <w:jc w:val="both"/>
        <w:rPr/>
      </w:pPr>
      <w:r>
        <w:rPr>
          <w:rFonts w:ascii="Times New Roman" w:hAnsi="Times New Roman" w:cs="Times New Roman"/>
          <w:b w:val="false"/>
          <w:color w:val="000000"/>
          <w:sz w:val="24"/>
        </w:rPr>
        <w:t>本地运行流程为“解压交付包—双击启动程序—自动启动本地服务—浏览器访问本机系统—完成分析与成果导出—退出系统关闭本地服务”。启动程序应对端口占用、程序目录完整性、数据库可读写性和模型资源完整性进行基础检查；发生异常时在本地日志中记录并向用户给出明确提示。</w:t>
      </w:r>
    </w:p>
    <w:p>
      <w:pPr>
        <w:pStyle w:val="Style5"/>
        <w:spacing w:lineRule="auto" w:line="360"/>
        <w:ind w:firstLine="480" w:start="0" w:end="0"/>
        <w:jc w:val="both"/>
        <w:rPr/>
      </w:pPr>
      <w:r>
        <w:rPr>
          <w:rFonts w:ascii="Times New Roman" w:hAnsi="Times New Roman" w:cs="Times New Roman"/>
          <w:b w:val="false"/>
          <w:color w:val="000000"/>
          <w:sz w:val="24"/>
        </w:rPr>
        <w:t>便携式交付应尽量降低现场环境依赖。程序可采用</w:t>
      </w:r>
      <w:r>
        <w:rPr>
          <w:rFonts w:eastAsia="仿宋" w:cs="Times New Roman"/>
          <w:b w:val="false"/>
          <w:color w:val="000000"/>
          <w:sz w:val="24"/>
        </w:rPr>
        <w:t>PyInstaller onedir</w:t>
      </w:r>
      <w:r>
        <w:rPr>
          <w:rFonts w:ascii="Times New Roman" w:hAnsi="Times New Roman" w:cs="Times New Roman"/>
          <w:b w:val="false"/>
          <w:color w:val="000000"/>
          <w:sz w:val="24"/>
        </w:rPr>
        <w:t>或等效方式封装</w:t>
      </w:r>
      <w:r>
        <w:rPr>
          <w:rFonts w:eastAsia="仿宋" w:cs="Times New Roman"/>
          <w:b w:val="false"/>
          <w:color w:val="000000"/>
          <w:sz w:val="24"/>
        </w:rPr>
        <w:t>Python</w:t>
      </w:r>
      <w:r>
        <w:rPr>
          <w:rFonts w:ascii="Times New Roman" w:hAnsi="Times New Roman" w:cs="Times New Roman"/>
          <w:b w:val="false"/>
          <w:color w:val="000000"/>
          <w:sz w:val="24"/>
        </w:rPr>
        <w:t>运行环境和业务依赖；前端编译为静态资源后随程序包发布；</w:t>
      </w:r>
      <w:r>
        <w:rPr>
          <w:rFonts w:eastAsia="仿宋" w:cs="Times New Roman"/>
          <w:b w:val="false"/>
          <w:color w:val="000000"/>
          <w:sz w:val="24"/>
        </w:rPr>
        <w:t>SQLite</w:t>
      </w:r>
      <w:r>
        <w:rPr>
          <w:rFonts w:ascii="Times New Roman" w:hAnsi="Times New Roman" w:cs="Times New Roman"/>
          <w:b w:val="false"/>
          <w:color w:val="000000"/>
          <w:sz w:val="24"/>
        </w:rPr>
        <w:t>作为嵌入式数据库随应用直接使用。对于模型更新，采用独立模型目录和版本元数据管理，支持在断网环境下复制或导入新的模型版本包。</w:t>
      </w:r>
    </w:p>
    <w:p>
      <w:pPr>
        <w:pStyle w:val="Heading1"/>
        <w:keepNext w:val="true"/>
        <w:spacing w:before="200" w:after="100"/>
        <w:ind w:hanging="0" w:start="0" w:end="0"/>
        <w:rPr/>
      </w:pPr>
      <w:bookmarkStart w:id="57" w:name="__RefHeading___Toc4022_1443650120"/>
      <w:bookmarkEnd w:id="57"/>
      <w:r>
        <w:rPr>
          <w:rFonts w:ascii="Times New Roman" w:hAnsi="Times New Roman" w:cs="Times New Roman"/>
          <w:b/>
          <w:color w:val="000000"/>
          <w:sz w:val="32"/>
        </w:rPr>
        <w:t>成果标准与技术指标</w:t>
      </w:r>
    </w:p>
    <w:p>
      <w:pPr>
        <w:pStyle w:val="Heading2"/>
        <w:keepNext w:val="true"/>
        <w:spacing w:before="120" w:after="100"/>
        <w:ind w:hanging="0" w:start="0" w:end="0"/>
        <w:rPr/>
      </w:pPr>
      <w:bookmarkStart w:id="58" w:name="__RefHeading___Toc4024_1443650120"/>
      <w:bookmarkEnd w:id="58"/>
      <w:r>
        <w:rPr>
          <w:rFonts w:ascii="Times New Roman" w:hAnsi="Times New Roman" w:cs="Times New Roman"/>
          <w:b/>
          <w:color w:val="000000"/>
          <w:sz w:val="28"/>
        </w:rPr>
        <w:t>中长期负荷预测模块功能标准</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序号</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功能标准</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1</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能够创建并管理典型区域预测项目。</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2</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能够通过标准</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模板导入历史负荷、新型负荷、驱动因素、典型曲线和电源规划数据。</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3</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能够完成字段完整性、空值、重复时间点和基础范围检查。</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4</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能够展示用电量、最大负荷、负荷结构、典型日曲线和主要特性指标。</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5</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能够配置基准、低碳约束和强碳约束三类情景参数。</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6</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能够调用模型形成</w:t>
            </w: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年年度用电量、最大负荷、负荷结构和典型日曲线。</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7</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能够展示三类情景对比及预测上下边界。</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8</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能够在新增数据条件下重新预测并形成版本对比。</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9</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能够导入电源方案并开展源荷时序匹配和方案对比。</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eastAsia="仿宋" w:cs="Times New Roman"/>
                <w:b w:val="false"/>
                <w:color w:val="000000"/>
                <w:kern w:val="0"/>
                <w:sz w:val="21"/>
                <w:szCs w:val="22"/>
                <w:lang w:val="en-US" w:eastAsia="en-US" w:bidi="ar-SA"/>
              </w:rPr>
              <w:t>10</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能够导出</w:t>
            </w:r>
            <w:r>
              <w:rPr>
                <w:rFonts w:eastAsia="仿宋" w:cs="Times New Roman"/>
                <w:b w:val="false"/>
                <w:color w:val="000000"/>
                <w:kern w:val="0"/>
                <w:sz w:val="21"/>
                <w:szCs w:val="22"/>
                <w:lang w:val="en-US" w:eastAsia="en-US" w:bidi="ar-SA"/>
              </w:rPr>
              <w:t>Excel</w:t>
            </w:r>
            <w:r>
              <w:rPr>
                <w:rFonts w:ascii="Times New Roman" w:hAnsi="Times New Roman" w:cs="Times New Roman"/>
                <w:b w:val="false"/>
                <w:color w:val="000000"/>
                <w:kern w:val="0"/>
                <w:sz w:val="21"/>
                <w:szCs w:val="22"/>
                <w:lang w:val="en-US" w:eastAsia="en-US" w:bidi="ar-SA"/>
              </w:rPr>
              <w:t>结果和生成固定模板</w:t>
            </w:r>
            <w:r>
              <w:rPr>
                <w:rFonts w:eastAsia="仿宋" w:cs="Times New Roman"/>
                <w:b w:val="false"/>
                <w:color w:val="000000"/>
                <w:kern w:val="0"/>
                <w:sz w:val="21"/>
                <w:szCs w:val="22"/>
                <w:lang w:val="en-US" w:eastAsia="en-US" w:bidi="ar-SA"/>
              </w:rPr>
              <w:t>Word</w:t>
            </w:r>
            <w:r>
              <w:rPr>
                <w:rFonts w:ascii="Times New Roman" w:hAnsi="Times New Roman" w:cs="Times New Roman"/>
                <w:b w:val="false"/>
                <w:color w:val="000000"/>
                <w:kern w:val="0"/>
                <w:sz w:val="21"/>
                <w:szCs w:val="22"/>
                <w:lang w:val="en-US" w:eastAsia="en-US" w:bidi="ar-SA"/>
              </w:rPr>
              <w:t>报告。</w:t>
            </w:r>
          </w:p>
        </w:tc>
      </w:tr>
    </w:tbl>
    <w:p>
      <w:pPr>
        <w:pStyle w:val="Normal"/>
        <w:spacing w:lineRule="auto" w:line="360" w:before="0" w:after="0"/>
        <w:ind w:hanging="0"/>
        <w:jc w:val="both"/>
        <w:rPr/>
      </w:pPr>
      <w:r>
        <w:rPr/>
      </w:r>
    </w:p>
    <w:p>
      <w:pPr>
        <w:pStyle w:val="Heading2"/>
        <w:keepNext w:val="true"/>
        <w:spacing w:before="120" w:after="100"/>
        <w:ind w:hanging="0" w:start="0" w:end="0"/>
        <w:rPr/>
      </w:pPr>
      <w:bookmarkStart w:id="59" w:name="__RefHeading___Toc4026_1443650120"/>
      <w:bookmarkEnd w:id="59"/>
      <w:r>
        <w:rPr>
          <w:rFonts w:ascii="Times New Roman" w:hAnsi="Times New Roman" w:cs="Times New Roman"/>
          <w:b/>
          <w:color w:val="000000"/>
          <w:sz w:val="28"/>
        </w:rPr>
        <w:t>数据标准</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输入模板字段、单位和时间格式统一。</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历史数据、新型负荷数据、情景参数和电源数据能够按项目管理。</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每次数据导入生成可识别的版本信息。</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预测输出表结构固定，能够直接用于</w:t>
      </w:r>
      <w:r>
        <w:rPr>
          <w:rFonts w:eastAsia="仿宋" w:cs="Times New Roman"/>
          <w:b w:val="false"/>
          <w:color w:val="000000"/>
          <w:sz w:val="24"/>
        </w:rPr>
        <w:t>Excel</w:t>
      </w:r>
      <w:r>
        <w:rPr>
          <w:rFonts w:ascii="Times New Roman" w:hAnsi="Times New Roman" w:cs="Times New Roman"/>
          <w:b w:val="false"/>
          <w:color w:val="000000"/>
          <w:sz w:val="24"/>
        </w:rPr>
        <w:t>导出和后续分析。</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数据来源、导入时间、模型版本和结果版本能够追溯。</w:t>
      </w:r>
    </w:p>
    <w:p>
      <w:pPr>
        <w:pStyle w:val="Heading2"/>
        <w:keepNext w:val="true"/>
        <w:spacing w:before="120" w:after="100"/>
        <w:ind w:hanging="0" w:start="0" w:end="0"/>
        <w:rPr/>
      </w:pPr>
      <w:bookmarkStart w:id="60" w:name="__RefHeading___Toc4028_1443650120"/>
      <w:bookmarkEnd w:id="60"/>
      <w:r>
        <w:rPr>
          <w:rFonts w:ascii="Times New Roman" w:hAnsi="Times New Roman" w:cs="Times New Roman"/>
          <w:b/>
          <w:color w:val="000000"/>
          <w:sz w:val="28"/>
        </w:rPr>
        <w:t>模型集成标准</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每个模型具有明确的模型标识、来源课题、版本和适用对象。</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每个模型提供完整的输入字段、输出字段、参数说明和单位。</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每个模型提供一套可运行的示例输入和示例输出。</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模型能够在本地环境重复调用，并将输出转换为统一结果格式。</w:t>
      </w:r>
    </w:p>
    <w:p>
      <w:pPr>
        <w:pStyle w:val="ListBullet"/>
        <w:numPr>
          <w:ilvl w:val="0"/>
          <w:numId w:val="2"/>
        </w:numPr>
        <w:spacing w:lineRule="auto" w:line="360" w:before="0" w:after="0"/>
        <w:contextualSpacing/>
        <w:rPr/>
      </w:pPr>
      <w:r>
        <w:rPr>
          <w:rFonts w:ascii="Times New Roman" w:hAnsi="Times New Roman" w:cs="Times New Roman"/>
          <w:b w:val="false"/>
          <w:color w:val="000000"/>
          <w:sz w:val="24"/>
        </w:rPr>
        <w:t>模型运行异常能够返回可理解的错误信息。</w:t>
      </w:r>
    </w:p>
    <w:p>
      <w:pPr>
        <w:pStyle w:val="Heading2"/>
        <w:keepNext w:val="true"/>
        <w:spacing w:before="120" w:after="100"/>
        <w:ind w:hanging="0" w:start="0" w:end="0"/>
        <w:rPr/>
      </w:pPr>
      <w:bookmarkStart w:id="61" w:name="__RefHeading___Toc4030_1443650120"/>
      <w:bookmarkEnd w:id="61"/>
      <w:r>
        <w:rPr>
          <w:rFonts w:ascii="Times New Roman" w:hAnsi="Times New Roman" w:cs="Times New Roman"/>
          <w:b/>
          <w:color w:val="000000"/>
          <w:sz w:val="28"/>
        </w:rPr>
        <w:t>预测结果标准</w:t>
      </w:r>
    </w:p>
    <w:p>
      <w:pPr>
        <w:pStyle w:val="Style5"/>
        <w:spacing w:lineRule="auto" w:line="360" w:before="0" w:after="0"/>
        <w:ind w:firstLine="480" w:start="0" w:end="0"/>
        <w:jc w:val="both"/>
        <w:rPr/>
      </w:pPr>
      <w:r>
        <w:rPr>
          <w:rFonts w:ascii="Times New Roman" w:hAnsi="Times New Roman" w:cs="Times New Roman"/>
          <w:b w:val="false"/>
          <w:color w:val="000000"/>
          <w:sz w:val="24"/>
        </w:rPr>
        <w:t>三类情景预测结果应覆盖</w:t>
      </w:r>
      <w:r>
        <w:rPr>
          <w:rFonts w:eastAsia="仿宋" w:cs="Times New Roman"/>
          <w:b w:val="false"/>
          <w:color w:val="000000"/>
          <w:sz w:val="24"/>
        </w:rPr>
        <w:t>3—10</w:t>
      </w:r>
      <w:r>
        <w:rPr>
          <w:rFonts w:ascii="Times New Roman" w:hAnsi="Times New Roman" w:cs="Times New Roman"/>
          <w:b w:val="false"/>
          <w:color w:val="000000"/>
          <w:sz w:val="24"/>
        </w:rPr>
        <w:t>年预测周期，至少包含年度用电量、年度最大负荷、负荷增长率、传统负荷规模、新型负荷规模、各类新型负荷结果、新型负荷占比、典型日负荷曲线和预测上下边界。</w:t>
      </w:r>
    </w:p>
    <w:p>
      <w:pPr>
        <w:pStyle w:val="Heading2"/>
        <w:keepNext w:val="true"/>
        <w:spacing w:before="120" w:after="100"/>
        <w:ind w:hanging="0" w:start="0" w:end="0"/>
        <w:rPr/>
      </w:pPr>
      <w:bookmarkStart w:id="62" w:name="__RefHeading___Toc4032_1443650120"/>
      <w:bookmarkEnd w:id="62"/>
      <w:r>
        <w:rPr>
          <w:rFonts w:ascii="Times New Roman" w:hAnsi="Times New Roman" w:cs="Times New Roman"/>
          <w:b/>
          <w:color w:val="000000"/>
          <w:sz w:val="28"/>
        </w:rPr>
        <w:t>预测精度指标</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2986"/>
        <w:gridCol w:w="2986"/>
        <w:gridCol w:w="2986"/>
      </w:tblGrid>
      <w:tr>
        <w:trPr>
          <w:tblHeader w:val="true"/>
          <w:cantSplit w:val="true"/>
        </w:trPr>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情景</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预测周期</w:t>
            </w:r>
          </w:p>
        </w:tc>
        <w:tc>
          <w:tcPr>
            <w:tcW w:w="2986"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预测误差要求</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基准情景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3—5</w:t>
            </w:r>
            <w:r>
              <w:rPr>
                <w:rFonts w:ascii="Times New Roman" w:hAnsi="Times New Roman" w:cs="Times New Roman"/>
                <w:b w:val="false"/>
                <w:color w:val="000000"/>
                <w:kern w:val="0"/>
                <w:sz w:val="21"/>
                <w:szCs w:val="22"/>
                <w:lang w:val="en-US" w:eastAsia="en-US" w:bidi="ar-SA"/>
              </w:rPr>
              <w:t>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不超过</w:t>
            </w:r>
            <w:r>
              <w:rPr>
                <w:rFonts w:eastAsia="仿宋" w:cs="Times New Roman"/>
                <w:b w:val="false"/>
                <w:color w:val="000000"/>
                <w:kern w:val="0"/>
                <w:sz w:val="21"/>
                <w:szCs w:val="22"/>
                <w:lang w:val="en-US" w:eastAsia="en-US" w:bidi="ar-SA"/>
              </w:rPr>
              <w:t>8%</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基准情景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6—10</w:t>
            </w:r>
            <w:r>
              <w:rPr>
                <w:rFonts w:ascii="Times New Roman" w:hAnsi="Times New Roman" w:cs="Times New Roman"/>
                <w:b w:val="false"/>
                <w:color w:val="000000"/>
                <w:kern w:val="0"/>
                <w:sz w:val="21"/>
                <w:szCs w:val="22"/>
                <w:lang w:val="en-US" w:eastAsia="en-US" w:bidi="ar-SA"/>
              </w:rPr>
              <w:t>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不超过</w:t>
            </w:r>
            <w:r>
              <w:rPr>
                <w:rFonts w:eastAsia="仿宋" w:cs="Times New Roman"/>
                <w:b w:val="false"/>
                <w:color w:val="000000"/>
                <w:kern w:val="0"/>
                <w:sz w:val="21"/>
                <w:szCs w:val="22"/>
                <w:lang w:val="en-US" w:eastAsia="en-US" w:bidi="ar-SA"/>
              </w:rPr>
              <w:t>10%</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低碳约束情景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不超过</w:t>
            </w:r>
            <w:r>
              <w:rPr>
                <w:rFonts w:eastAsia="仿宋" w:cs="Times New Roman"/>
                <w:b w:val="false"/>
                <w:color w:val="000000"/>
                <w:kern w:val="0"/>
                <w:sz w:val="21"/>
                <w:szCs w:val="22"/>
                <w:lang w:val="en-US" w:eastAsia="en-US" w:bidi="ar-SA"/>
              </w:rPr>
              <w:t>12%</w:t>
            </w:r>
            <w:r>
              <w:rPr>
                <w:rFonts w:ascii="Times New Roman" w:hAnsi="Times New Roman" w:cs="Times New Roman"/>
                <w:b w:val="false"/>
                <w:color w:val="000000"/>
                <w:kern w:val="0"/>
                <w:sz w:val="21"/>
                <w:szCs w:val="22"/>
                <w:lang w:val="en-US" w:eastAsia="en-US" w:bidi="ar-SA"/>
              </w:rPr>
              <w:t>。</w:t>
            </w:r>
          </w:p>
        </w:tc>
      </w:tr>
      <w:tr>
        <w:trPr>
          <w:cantSplit w:val="true"/>
        </w:trPr>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强碳约束情景</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eastAsia="仿宋" w:cs="Times New Roman"/>
                <w:b w:val="false"/>
                <w:color w:val="000000"/>
                <w:kern w:val="0"/>
                <w:sz w:val="21"/>
                <w:szCs w:val="22"/>
                <w:lang w:val="en-US" w:eastAsia="en-US" w:bidi="ar-SA"/>
              </w:rPr>
              <w:t>3—10</w:t>
            </w:r>
            <w:r>
              <w:rPr>
                <w:rFonts w:ascii="Times New Roman" w:hAnsi="Times New Roman" w:cs="Times New Roman"/>
                <w:b w:val="false"/>
                <w:color w:val="000000"/>
                <w:kern w:val="0"/>
                <w:sz w:val="21"/>
                <w:szCs w:val="22"/>
                <w:lang w:val="en-US" w:eastAsia="en-US" w:bidi="ar-SA"/>
              </w:rPr>
              <w:t>年</w:t>
            </w:r>
          </w:p>
        </w:tc>
        <w:tc>
          <w:tcPr>
            <w:tcW w:w="2986"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不超过</w:t>
            </w:r>
            <w:r>
              <w:rPr>
                <w:rFonts w:eastAsia="仿宋" w:cs="Times New Roman"/>
                <w:b w:val="false"/>
                <w:color w:val="000000"/>
                <w:kern w:val="0"/>
                <w:sz w:val="21"/>
                <w:szCs w:val="22"/>
                <w:lang w:val="en-US" w:eastAsia="en-US" w:bidi="ar-SA"/>
              </w:rPr>
              <w:t>12%</w:t>
            </w:r>
            <w:r>
              <w:rPr>
                <w:rFonts w:ascii="Times New Roman" w:hAnsi="Times New Roman" w:cs="Times New Roman"/>
                <w:b w:val="false"/>
                <w:color w:val="000000"/>
                <w:kern w:val="0"/>
                <w:sz w:val="21"/>
                <w:szCs w:val="22"/>
                <w:lang w:val="en-US" w:eastAsia="en-US" w:bidi="ar-SA"/>
              </w:rPr>
              <w:t>。</w:t>
            </w:r>
          </w:p>
        </w:tc>
      </w:tr>
    </w:tbl>
    <w:p>
      <w:pPr>
        <w:pStyle w:val="Normal"/>
        <w:spacing w:lineRule="auto" w:line="360" w:before="0" w:after="0"/>
        <w:ind w:hanging="0"/>
        <w:jc w:val="both"/>
        <w:rPr/>
      </w:pPr>
      <w:r>
        <w:rPr/>
      </w:r>
    </w:p>
    <w:p>
      <w:pPr>
        <w:pStyle w:val="Style5"/>
        <w:spacing w:lineRule="auto" w:line="360" w:before="0" w:after="0"/>
        <w:ind w:firstLine="480" w:start="0" w:end="0"/>
        <w:jc w:val="both"/>
        <w:rPr/>
      </w:pPr>
      <w:r>
        <w:rPr>
          <w:rFonts w:ascii="Times New Roman" w:hAnsi="Times New Roman" w:cs="Times New Roman"/>
          <w:b w:val="false"/>
          <w:color w:val="000000"/>
          <w:sz w:val="24"/>
        </w:rPr>
        <w:t>预测误差计算口径应结合项目最终确定的评价方法统一规定。典型区域验证阶段应保存预测值、实际值或对比基准、误差指标和计算时间，支撑结果分析和模型校准。</w:t>
      </w:r>
    </w:p>
    <w:p>
      <w:pPr>
        <w:pStyle w:val="Heading2"/>
        <w:keepNext w:val="true"/>
        <w:spacing w:before="120" w:after="100"/>
        <w:ind w:hanging="0" w:start="0" w:end="0"/>
        <w:rPr/>
      </w:pPr>
      <w:bookmarkStart w:id="63" w:name="__RefHeading___Toc4034_1443650120"/>
      <w:bookmarkEnd w:id="63"/>
      <w:r>
        <w:rPr>
          <w:rFonts w:ascii="Times New Roman" w:hAnsi="Times New Roman" w:cs="Times New Roman"/>
          <w:b/>
          <w:color w:val="000000"/>
          <w:sz w:val="28"/>
        </w:rPr>
        <w:t>典型区域验证成果标准</w:t>
      </w:r>
    </w:p>
    <w:p>
      <w:pPr>
        <w:pStyle w:val="ListBullet"/>
        <w:numPr>
          <w:ilvl w:val="0"/>
          <w:numId w:val="2"/>
        </w:numPr>
        <w:rPr/>
      </w:pPr>
      <w:r>
        <w:rPr/>
        <w:t>完成一个高电气化工业基地和一个电动汽车高渗透率城市的数据适配、情景配置、模型适用性检查、负荷预测、结果验证和参数校准。</w:t>
      </w:r>
    </w:p>
    <w:p>
      <w:pPr>
        <w:pStyle w:val="ListBullet"/>
        <w:numPr>
          <w:ilvl w:val="0"/>
          <w:numId w:val="2"/>
        </w:numPr>
        <w:rPr/>
      </w:pPr>
      <w:r>
        <w:rPr/>
        <w:t>形成两类典型区域</w:t>
      </w:r>
      <w:r>
        <w:rPr/>
        <w:t>3—10</w:t>
      </w:r>
      <w:r>
        <w:rPr/>
        <w:t>年多情景负荷发展路径、最大负荷结果、典型日预测曲线及必要的预测区间。</w:t>
      </w:r>
    </w:p>
    <w:p>
      <w:pPr>
        <w:pStyle w:val="ListBullet"/>
        <w:numPr>
          <w:ilvl w:val="0"/>
          <w:numId w:val="2"/>
        </w:numPr>
        <w:rPr/>
      </w:pPr>
      <w:r>
        <w:rPr/>
        <w:t>结合数据条件形成历史回溯验证，并同步形成趋势合理性、已知规划边界和物理业务合理性等验证记录。</w:t>
      </w:r>
    </w:p>
    <w:p>
      <w:pPr>
        <w:pStyle w:val="ListBullet"/>
        <w:numPr>
          <w:ilvl w:val="0"/>
          <w:numId w:val="2"/>
        </w:numPr>
        <w:rPr/>
      </w:pPr>
      <w:r>
        <w:rPr/>
        <w:t>形成校准前后预测版本对比、问题清单以及数据模板、情景参数、模型适用范围、标准曲线和软件展示等优化建议。</w:t>
      </w:r>
    </w:p>
    <w:p>
      <w:pPr>
        <w:pStyle w:val="ListBullet"/>
        <w:numPr>
          <w:ilvl w:val="0"/>
          <w:numId w:val="2"/>
        </w:numPr>
        <w:rPr/>
      </w:pPr>
      <w:r>
        <w:rPr/>
        <w:t>分别形成两类典型区域验证报告和可复用的区域配置，为后续规划方案匹配度分析和其他区域推广应用提供基础。</w:t>
      </w:r>
    </w:p>
    <w:p>
      <w:pPr>
        <w:pStyle w:val="Heading2"/>
        <w:keepNext w:val="true"/>
        <w:spacing w:before="120" w:after="100"/>
        <w:ind w:hanging="0" w:start="0" w:end="0"/>
        <w:rPr/>
      </w:pPr>
      <w:bookmarkStart w:id="64" w:name="__RefHeading___Toc4036_1443650120"/>
      <w:bookmarkEnd w:id="64"/>
      <w:r>
        <w:rPr>
          <w:rFonts w:ascii="Times New Roman" w:hAnsi="Times New Roman" w:cs="Times New Roman"/>
          <w:b/>
          <w:color w:val="000000"/>
          <w:sz w:val="28"/>
        </w:rPr>
        <w:t>规划方案匹配度分析成果标准</w:t>
      </w:r>
    </w:p>
    <w:tbl>
      <w:tblPr>
        <w:tblStyle w:val="TableGrid"/>
        <w:tblW w:w="8958" w:type="dxa"/>
        <w:jc w:val="center"/>
        <w:tblInd w:w="0" w:type="dxa"/>
        <w:tblLayout w:type="fixed"/>
        <w:tblCellMar>
          <w:top w:w="75" w:type="dxa"/>
          <w:start w:w="90" w:type="dxa"/>
          <w:bottom w:w="75" w:type="dxa"/>
          <w:end w:w="90" w:type="dxa"/>
        </w:tblCellMar>
        <w:tblLook w:val="04a0" w:noHBand="0" w:noVBand="1" w:firstColumn="1" w:lastRow="0" w:lastColumn="0" w:firstRow="1"/>
      </w:tblPr>
      <w:tblGrid>
        <w:gridCol w:w="4479"/>
        <w:gridCol w:w="4478"/>
      </w:tblGrid>
      <w:tr>
        <w:trPr>
          <w:tblHeader w:val="true"/>
          <w:cantSplit w:val="true"/>
        </w:trPr>
        <w:tc>
          <w:tcPr>
            <w:tcW w:w="4479"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成果项</w:t>
            </w:r>
          </w:p>
        </w:tc>
        <w:tc>
          <w:tcPr>
            <w:tcW w:w="4478" w:type="dxa"/>
            <w:tcBorders>
              <w:top w:val="single" w:sz="6" w:space="0" w:color="A6A6A6"/>
              <w:start w:val="single" w:sz="6" w:space="0" w:color="A6A6A6"/>
              <w:bottom w:val="single" w:sz="6" w:space="0" w:color="A6A6A6"/>
              <w:end w:val="single" w:sz="6" w:space="0" w:color="A6A6A6"/>
            </w:tcBorders>
            <w:shd w:fill="F2F2F2"/>
            <w:vAlign w:val="center"/>
          </w:tcPr>
          <w:p>
            <w:pPr>
              <w:pStyle w:val="Style6"/>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color w:val="000000"/>
                <w:kern w:val="0"/>
                <w:sz w:val="21"/>
                <w:szCs w:val="22"/>
                <w:lang w:val="en-US" w:eastAsia="en-US" w:bidi="ar-SA"/>
              </w:rPr>
              <w:t>最低内容要求</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源荷曲线</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同一时间粒度下的预测负荷、可用电源和新能源出力曲线。</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缺口结果</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逐时段功率缺口、最大缺口、缺口时刻和持续时间。</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匹配指标</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源荷匹配率、新能源消纳率等可量化指标。</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方案对比</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不少于两个规划方案或同一方案在不同情景下的对比。</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优化方向</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针对容量、投产时序、储能和负荷调节等提出分析建议。</w:t>
            </w:r>
          </w:p>
        </w:tc>
      </w:tr>
      <w:tr>
        <w:trPr>
          <w:cantSplit w:val="true"/>
        </w:trPr>
        <w:tc>
          <w:tcPr>
            <w:tcW w:w="4479" w:type="dxa"/>
            <w:tcBorders>
              <w:top w:val="single" w:sz="6" w:space="0" w:color="A6A6A6"/>
              <w:start w:val="single" w:sz="6" w:space="0" w:color="A6A6A6"/>
              <w:bottom w:val="single" w:sz="6" w:space="0" w:color="A6A6A6"/>
              <w:end w:val="single" w:sz="6" w:space="0" w:color="A6A6A6"/>
            </w:tcBorders>
            <w:vAlign w:val="center"/>
          </w:tcPr>
          <w:p>
            <w:pPr>
              <w:pStyle w:val="-"/>
              <w:widowControl/>
              <w:suppressAutoHyphens w:val="true"/>
              <w:spacing w:lineRule="auto" w:line="240" w:before="0" w:after="0"/>
              <w:ind w:hanging="0" w:start="0" w:end="0"/>
              <w:jc w:val="center"/>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标准流程</w:t>
            </w:r>
          </w:p>
        </w:tc>
        <w:tc>
          <w:tcPr>
            <w:tcW w:w="4478" w:type="dxa"/>
            <w:tcBorders>
              <w:top w:val="single" w:sz="6" w:space="0" w:color="A6A6A6"/>
              <w:start w:val="single" w:sz="6" w:space="0" w:color="A6A6A6"/>
              <w:bottom w:val="single" w:sz="6" w:space="0" w:color="A6A6A6"/>
              <w:end w:val="single" w:sz="6" w:space="0" w:color="A6A6A6"/>
            </w:tcBorders>
            <w:vAlign w:val="center"/>
          </w:tcPr>
          <w:p>
            <w:pPr>
              <w:pStyle w:val="Style7"/>
              <w:widowControl/>
              <w:suppressAutoHyphens w:val="true"/>
              <w:spacing w:lineRule="auto" w:line="240" w:before="0" w:after="0"/>
              <w:ind w:hanging="0" w:start="0" w:end="0"/>
              <w:jc w:val="start"/>
              <w:rPr>
                <w:rFonts w:cs=""/>
                <w:kern w:val="0"/>
                <w:szCs w:val="22"/>
                <w:lang w:val="en-US" w:eastAsia="en-US" w:bidi="ar-SA"/>
              </w:rPr>
            </w:pPr>
            <w:r>
              <w:rPr>
                <w:rFonts w:ascii="Times New Roman" w:hAnsi="Times New Roman" w:cs="Times New Roman"/>
                <w:b w:val="false"/>
                <w:color w:val="000000"/>
                <w:kern w:val="0"/>
                <w:sz w:val="21"/>
                <w:szCs w:val="22"/>
                <w:lang w:val="en-US" w:eastAsia="en-US" w:bidi="ar-SA"/>
              </w:rPr>
              <w:t>形成可复用的源荷匹配评估和方案分析步骤。</w:t>
            </w:r>
          </w:p>
        </w:tc>
      </w:tr>
    </w:tbl>
    <w:p>
      <w:pPr>
        <w:pStyle w:val="Normal"/>
        <w:spacing w:lineRule="auto" w:line="360" w:before="0" w:after="0"/>
        <w:ind w:hanging="0"/>
        <w:jc w:val="both"/>
        <w:rPr/>
      </w:pPr>
      <w:r>
        <w:rPr/>
      </w:r>
    </w:p>
    <w:p>
      <w:pPr>
        <w:pStyle w:val="Heading1"/>
        <w:keepNext w:val="true"/>
        <w:spacing w:before="200" w:after="100"/>
        <w:ind w:hanging="0" w:start="0" w:end="0"/>
        <w:rPr/>
      </w:pPr>
      <w:bookmarkStart w:id="65" w:name="__RefHeading___Toc4038_1443650120"/>
      <w:bookmarkEnd w:id="65"/>
      <w:r>
        <w:rPr>
          <w:rFonts w:ascii="Times New Roman" w:hAnsi="Times New Roman" w:cs="Times New Roman"/>
          <w:b/>
          <w:color w:val="000000"/>
          <w:sz w:val="32"/>
        </w:rPr>
        <w:t>预期应用效果</w:t>
      </w:r>
    </w:p>
    <w:p>
      <w:pPr>
        <w:pStyle w:val="Heading2"/>
        <w:keepNext w:val="true"/>
        <w:spacing w:before="120" w:after="100"/>
        <w:ind w:hanging="0" w:start="0" w:end="0"/>
        <w:rPr/>
      </w:pPr>
      <w:bookmarkStart w:id="66" w:name="__RefHeading___Toc4040_1443650120"/>
      <w:bookmarkEnd w:id="66"/>
      <w:r>
        <w:rPr>
          <w:rFonts w:ascii="Times New Roman" w:hAnsi="Times New Roman" w:cs="Times New Roman"/>
          <w:b/>
          <w:color w:val="000000"/>
          <w:sz w:val="28"/>
        </w:rPr>
        <w:t>形成多情景中长期负荷预测能力</w:t>
      </w:r>
    </w:p>
    <w:p>
      <w:pPr>
        <w:pStyle w:val="Style5"/>
        <w:spacing w:lineRule="auto" w:line="360" w:before="0" w:after="0"/>
        <w:ind w:firstLine="480" w:start="0" w:end="0"/>
        <w:jc w:val="both"/>
        <w:rPr/>
      </w:pPr>
      <w:r>
        <w:rPr>
          <w:rFonts w:ascii="Times New Roman" w:hAnsi="Times New Roman" w:cs="Times New Roman"/>
          <w:b w:val="false"/>
          <w:color w:val="000000"/>
          <w:sz w:val="24"/>
        </w:rPr>
        <w:t>通过集成新型负荷特征、标准曲线和多情景预测模型，形成从历史负荷分析到未来</w:t>
      </w:r>
      <w:r>
        <w:rPr>
          <w:rFonts w:eastAsia="仿宋" w:cs="Times New Roman"/>
          <w:b w:val="false"/>
          <w:color w:val="000000"/>
          <w:sz w:val="24"/>
        </w:rPr>
        <w:t>3—10</w:t>
      </w:r>
      <w:r>
        <w:rPr>
          <w:rFonts w:ascii="Times New Roman" w:hAnsi="Times New Roman" w:cs="Times New Roman"/>
          <w:b w:val="false"/>
          <w:color w:val="000000"/>
          <w:sz w:val="24"/>
        </w:rPr>
        <w:t>年发展路径预测的完整能力，能够同时反映负荷规模、结构和典型时序变化。</w:t>
      </w:r>
    </w:p>
    <w:p>
      <w:pPr>
        <w:pStyle w:val="Heading2"/>
        <w:keepNext w:val="true"/>
        <w:spacing w:before="120" w:after="100"/>
        <w:ind w:hanging="0" w:start="0" w:end="0"/>
        <w:rPr/>
      </w:pPr>
      <w:bookmarkStart w:id="67" w:name="__RefHeading___Toc4042_1443650120"/>
      <w:bookmarkEnd w:id="67"/>
      <w:r>
        <w:rPr>
          <w:rFonts w:ascii="Times New Roman" w:hAnsi="Times New Roman" w:cs="Times New Roman"/>
          <w:b/>
          <w:color w:val="000000"/>
          <w:sz w:val="28"/>
        </w:rPr>
        <w:t>实现研究成果工程化应用</w:t>
      </w:r>
    </w:p>
    <w:p>
      <w:pPr>
        <w:pStyle w:val="Style5"/>
        <w:spacing w:lineRule="auto" w:line="360" w:before="0" w:after="0"/>
        <w:ind w:firstLine="480" w:start="0" w:end="0"/>
        <w:jc w:val="both"/>
        <w:rPr/>
      </w:pPr>
      <w:r>
        <w:rPr>
          <w:rFonts w:ascii="Times New Roman" w:hAnsi="Times New Roman" w:cs="Times New Roman"/>
          <w:b w:val="false"/>
          <w:color w:val="000000"/>
          <w:sz w:val="24"/>
        </w:rPr>
        <w:t>将课题</w:t>
      </w:r>
      <w:r>
        <w:rPr>
          <w:rFonts w:eastAsia="仿宋" w:cs="Times New Roman"/>
          <w:b w:val="false"/>
          <w:color w:val="000000"/>
          <w:sz w:val="24"/>
        </w:rPr>
        <w:t>1—3</w:t>
      </w:r>
      <w:r>
        <w:rPr>
          <w:rFonts w:ascii="Times New Roman" w:hAnsi="Times New Roman" w:cs="Times New Roman"/>
          <w:b w:val="false"/>
          <w:color w:val="000000"/>
          <w:sz w:val="24"/>
        </w:rPr>
        <w:t>形成的数据、曲线、场景和模型通过标准接口集成到本地软件中，使科研成果从报告和算法文件转化为规划人员可操作、可重复调用的分析工具。</w:t>
      </w:r>
    </w:p>
    <w:p>
      <w:pPr>
        <w:pStyle w:val="Heading2"/>
        <w:keepNext w:val="true"/>
        <w:spacing w:before="120" w:after="100"/>
        <w:ind w:hanging="0" w:start="0" w:end="0"/>
        <w:rPr/>
      </w:pPr>
      <w:bookmarkStart w:id="68" w:name="__RefHeading___Toc4044_1443650120"/>
      <w:bookmarkEnd w:id="68"/>
      <w:r>
        <w:rPr>
          <w:rFonts w:ascii="Times New Roman" w:hAnsi="Times New Roman" w:cs="Times New Roman"/>
          <w:b/>
          <w:color w:val="000000"/>
          <w:sz w:val="28"/>
        </w:rPr>
        <w:t>支撑典型区域差异化分析</w:t>
      </w:r>
    </w:p>
    <w:p>
      <w:pPr>
        <w:pStyle w:val="Style5"/>
        <w:spacing w:lineRule="auto" w:line="360" w:before="0" w:after="0"/>
        <w:ind w:firstLine="480" w:start="0" w:end="0"/>
        <w:jc w:val="both"/>
        <w:rPr/>
      </w:pPr>
      <w:r>
        <w:rPr>
          <w:rFonts w:ascii="Times New Roman" w:hAnsi="Times New Roman" w:cs="Times New Roman"/>
          <w:b w:val="false"/>
          <w:color w:val="000000"/>
          <w:sz w:val="24"/>
        </w:rPr>
        <w:t>通过高电气化工业基地和电动汽车高渗透率城市两类验证，形成适应不同负荷结构和发展模式的参数配置、模型适配和结果分析方法，为后续其他区域应用提供参考。</w:t>
      </w:r>
    </w:p>
    <w:p>
      <w:pPr>
        <w:pStyle w:val="Heading2"/>
        <w:keepNext w:val="true"/>
        <w:spacing w:before="120" w:after="100"/>
        <w:ind w:hanging="0" w:start="0" w:end="0"/>
        <w:rPr/>
      </w:pPr>
      <w:bookmarkStart w:id="69" w:name="__RefHeading___Toc4046_1443650120"/>
      <w:bookmarkEnd w:id="69"/>
      <w:r>
        <w:rPr>
          <w:rFonts w:ascii="Times New Roman" w:hAnsi="Times New Roman" w:cs="Times New Roman"/>
          <w:b/>
          <w:color w:val="000000"/>
          <w:sz w:val="28"/>
        </w:rPr>
        <w:t>提升规划方案源荷匹配分析水平</w:t>
      </w:r>
    </w:p>
    <w:p>
      <w:pPr>
        <w:pStyle w:val="Style5"/>
        <w:spacing w:lineRule="auto" w:line="360" w:before="0" w:after="0"/>
        <w:ind w:firstLine="480" w:start="0" w:end="0"/>
        <w:jc w:val="both"/>
        <w:rPr/>
      </w:pPr>
      <w:r>
        <w:rPr>
          <w:rFonts w:ascii="Times New Roman" w:hAnsi="Times New Roman" w:cs="Times New Roman"/>
          <w:b w:val="false"/>
          <w:color w:val="000000"/>
          <w:sz w:val="24"/>
        </w:rPr>
        <w:t>通过多情景预测结果与电源规划方案的时序匹配，提前识别目标年份和关键时段的供需缺口、新能源消纳短板及投产时序不匹配问题，为电源规模、储能配置和负荷侧调节方案研究提供量化依据。</w:t>
      </w:r>
    </w:p>
    <w:p>
      <w:pPr>
        <w:pStyle w:val="Heading2"/>
        <w:keepNext w:val="true"/>
        <w:spacing w:before="120" w:after="100"/>
        <w:ind w:hanging="0" w:start="0" w:end="0"/>
        <w:rPr/>
      </w:pPr>
      <w:bookmarkStart w:id="70" w:name="__RefHeading___Toc4048_1443650120"/>
      <w:bookmarkEnd w:id="70"/>
      <w:r>
        <w:rPr>
          <w:rFonts w:ascii="Times New Roman" w:hAnsi="Times New Roman" w:cs="Times New Roman"/>
          <w:b/>
          <w:color w:val="000000"/>
          <w:sz w:val="28"/>
        </w:rPr>
        <w:t>形成可复用的标准化应用流程</w:t>
      </w:r>
    </w:p>
    <w:p>
      <w:pPr>
        <w:pStyle w:val="Style5"/>
        <w:spacing w:lineRule="auto" w:line="360" w:before="0" w:after="0"/>
        <w:ind w:firstLine="480" w:start="0" w:end="0"/>
        <w:jc w:val="both"/>
        <w:rPr/>
      </w:pPr>
      <w:r>
        <w:rPr>
          <w:rFonts w:ascii="Times New Roman" w:hAnsi="Times New Roman" w:cs="Times New Roman"/>
          <w:b w:val="false"/>
          <w:color w:val="000000"/>
          <w:sz w:val="24"/>
        </w:rPr>
        <w:t>形成统一的数据模板、情景参数、模型接口、结果表和分析流程，使典型区域研究能够按照相同步骤开展，增强研究结果的一致性、可追溯性和推广应用能力。</w:t>
      </w:r>
    </w:p>
    <w:p>
      <w:pPr>
        <w:pStyle w:val="Style5"/>
        <w:spacing w:lineRule="auto" w:line="360" w:before="0" w:after="0"/>
        <w:ind w:firstLine="480" w:start="0" w:end="0"/>
        <w:jc w:val="both"/>
        <w:rPr/>
      </w:pPr>
      <w:r>
        <w:rPr>
          <w:rFonts w:eastAsia="仿宋" w:cs="Times New Roman"/>
          <w:b w:val="false"/>
          <w:color w:val="000000"/>
          <w:sz w:val="24"/>
        </w:rPr>
        <w:t xml:space="preserve">—— </w:t>
      </w:r>
      <w:r>
        <w:rPr>
          <w:rFonts w:eastAsia="仿宋" w:cs="Times New Roman"/>
          <w:b w:val="false"/>
          <w:color w:val="000000"/>
          <w:sz w:val="24"/>
        </w:rPr>
        <w:t>V1.1.4</w:t>
      </w:r>
      <w:r>
        <w:rPr>
          <w:rFonts w:ascii="Times New Roman" w:hAnsi="Times New Roman" w:cs="Times New Roman"/>
          <w:b w:val="false"/>
          <w:color w:val="000000"/>
          <w:sz w:val="24"/>
        </w:rPr>
        <w:t>实施方案结束 ——</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587" w:right="1474" w:gutter="0" w:header="794" w:top="1587" w:footer="794" w:bottom="147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黑体">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Times New Roman" w:hAnsi="Times New Roman" w:cs="Times New Roman"/>
        <w:b w:val="false"/>
        <w:color w:val="777777"/>
        <w:sz w:val="21"/>
      </w:rPr>
      <w:t>课题</w:t>
    </w:r>
    <w:r>
      <w:rPr>
        <w:rFonts w:eastAsia="仿宋" w:cs="Times New Roman"/>
        <w:b w:val="false"/>
        <w:color w:val="777777"/>
        <w:sz w:val="21"/>
      </w:rPr>
      <w:t>4</w:t>
    </w:r>
    <w:r>
      <w:rPr>
        <w:rFonts w:ascii="Times New Roman" w:hAnsi="Times New Roman" w:cs="Times New Roman"/>
        <w:b w:val="false"/>
        <w:color w:val="777777"/>
        <w:sz w:val="21"/>
      </w:rPr>
      <w:t>：支撑电网中长期规划的负荷预测模块研发与应用</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360" w:hanging="360"/>
      </w:pPr>
      <w:rPr>
        <w:sz w:val="32"/>
        <w:b/>
        <w:szCs w:val="32"/>
        <w:bCs/>
        <w:rFonts w:ascii="黑体" w:hAnsi="黑体" w:eastAsia="黑体" w:cs="黑体"/>
        <w:color w:val="000000"/>
      </w:rPr>
    </w:lvl>
    <w:lvl w:ilvl="1">
      <w:start w:val="1"/>
      <w:pStyle w:val="Heading2"/>
      <w:numFmt w:val="decimal"/>
      <w:suff w:val="space"/>
      <w:lvlText w:val="%1.%2"/>
      <w:lvlJc w:val="start"/>
      <w:pPr>
        <w:tabs>
          <w:tab w:val="num" w:pos="0"/>
        </w:tabs>
        <w:ind w:start="720" w:hanging="360"/>
      </w:pPr>
      <w:rPr>
        <w:sz w:val="28"/>
        <w:b/>
        <w:szCs w:val="28"/>
        <w:bCs/>
        <w:rFonts w:ascii="黑体" w:hAnsi="黑体" w:eastAsia="黑体" w:cs="黑体"/>
        <w:color w:val="000000"/>
      </w:rPr>
    </w:lvl>
    <w:lvl w:ilvl="2">
      <w:start w:val="1"/>
      <w:pStyle w:val="Heading3"/>
      <w:numFmt w:val="decimal"/>
      <w:suff w:val="space"/>
      <w:lvlText w:val="%1.%2.%3"/>
      <w:lvlJc w:val="start"/>
      <w:pPr>
        <w:tabs>
          <w:tab w:val="num" w:pos="0"/>
        </w:tabs>
        <w:ind w:start="1080" w:hanging="360"/>
      </w:pPr>
      <w:rPr>
        <w:sz w:val="24"/>
        <w:b/>
        <w:szCs w:val="24"/>
        <w:bCs/>
        <w:rFonts w:ascii="黑体" w:hAnsi="黑体" w:eastAsia="黑体" w:cs="黑体"/>
        <w:color w:val="000000"/>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0"/>
      <w:jc w:val="start"/>
    </w:pPr>
    <w:rPr>
      <w:rFonts w:ascii="Times New Roman" w:hAnsi="Times New Roman" w:eastAsia="仿宋" w:cs="Times New Roman"/>
      <w:color w:val="000000"/>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numPr>
        <w:ilvl w:val="0"/>
        <w:numId w:val="1"/>
      </w:numPr>
      <w:spacing w:lineRule="auto" w:line="276" w:before="280" w:after="120"/>
      <w:ind w:hanging="0" w:start="0" w:end="0"/>
      <w:outlineLvl w:val="0"/>
    </w:pPr>
    <w:rPr>
      <w:rFonts w:ascii="Times New Roman" w:hAnsi="Times New Roman" w:eastAsia="黑体" w:cs="Times New Roman"/>
      <w:b/>
      <w:bCs/>
      <w:color w:val="000000"/>
      <w:sz w:val="32"/>
      <w:szCs w:val="32"/>
    </w:rPr>
  </w:style>
  <w:style w:type="paragraph" w:styleId="Heading2">
    <w:name w:val="heading 2"/>
    <w:basedOn w:val="Normal"/>
    <w:next w:val="Normal"/>
    <w:link w:val="Heading2Char"/>
    <w:uiPriority w:val="9"/>
    <w:unhideWhenUsed/>
    <w:qFormat/>
    <w:rsid w:val="00fc693f"/>
    <w:pPr>
      <w:keepNext w:val="true"/>
      <w:keepLines/>
      <w:numPr>
        <w:ilvl w:val="1"/>
        <w:numId w:val="1"/>
      </w:numPr>
      <w:spacing w:lineRule="auto" w:line="276" w:before="200" w:after="120"/>
      <w:ind w:hanging="0" w:start="0" w:end="0"/>
      <w:outlineLvl w:val="1"/>
    </w:pPr>
    <w:rPr>
      <w:rFonts w:ascii="Times New Roman" w:hAnsi="Times New Roman" w:eastAsia="黑体" w:cs="Times New Roman"/>
      <w:b/>
      <w:bCs/>
      <w:color w:val="000000"/>
      <w:sz w:val="28"/>
      <w:szCs w:val="28"/>
    </w:rPr>
  </w:style>
  <w:style w:type="paragraph" w:styleId="Heading3">
    <w:name w:val="heading 3"/>
    <w:basedOn w:val="Normal"/>
    <w:next w:val="Normal"/>
    <w:link w:val="Heading3Char"/>
    <w:uiPriority w:val="9"/>
    <w:unhideWhenUsed/>
    <w:qFormat/>
    <w:rsid w:val="00fc693f"/>
    <w:pPr>
      <w:keepNext w:val="true"/>
      <w:keepLines/>
      <w:numPr>
        <w:ilvl w:val="2"/>
        <w:numId w:val="1"/>
      </w:numPr>
      <w:spacing w:lineRule="auto" w:line="276" w:before="200" w:after="120"/>
      <w:ind w:hanging="0" w:start="0" w:end="0"/>
      <w:outlineLvl w:val="2"/>
    </w:pPr>
    <w:rPr>
      <w:rFonts w:ascii="Times New Roman" w:hAnsi="Times New Roman" w:eastAsia="黑体"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val="true"/>
      <w:keepLines/>
      <w:spacing w:lineRule="auto" w:line="240" w:before="200" w:after="100"/>
      <w:ind w:hanging="0" w:start="0"/>
      <w:outlineLvl w:val="3"/>
    </w:pPr>
    <w:rPr>
      <w:rFonts w:ascii="Calibri" w:hAnsi="Calibri" w:eastAsia="" w:cs="" w:asciiTheme="majorHAnsi" w:cstheme="majorBidi" w:eastAsiaTheme="majorEastAsia" w:hAnsiTheme="majorHAnsi"/>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before="120" w:after="120"/>
      <w:ind w:hanging="0"/>
      <w:jc w:val="center"/>
    </w:pPr>
    <w:rPr>
      <w:rFonts w:ascii="Times New Roman" w:hAnsi="Times New Roman" w:eastAsia="黑体" w:cs="Times New Roman"/>
      <w:b w:val="false"/>
      <w:bCs/>
      <w:color w:val="000000"/>
      <w:sz w:val="21"/>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2"/>
      </w:numPr>
      <w:spacing w:lineRule="auto" w:line="360" w:before="0" w:after="0"/>
      <w:contextualSpacing/>
    </w:pPr>
    <w:rPr>
      <w:rFonts w:ascii="Times New Roman" w:hAnsi="Times New Roman" w:eastAsia="仿宋" w:cs="Times New Roman"/>
      <w:b w:val="false"/>
      <w:color w:val="000000"/>
      <w:sz w:val="24"/>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4"/>
      </w:numPr>
      <w:spacing w:before="0" w:after="0"/>
      <w:contextualSpacing/>
    </w:pPr>
    <w:rPr/>
  </w:style>
  <w:style w:type="paragraph" w:styleId="ListNumber3">
    <w:name w:val="List Number 3"/>
    <w:basedOn w:val="Normal"/>
    <w:uiPriority w:val="99"/>
    <w:unhideWhenUsed/>
    <w:rsid w:val="0029639d"/>
    <w:pPr>
      <w:numPr>
        <w:ilvl w:val="0"/>
        <w:numId w:val="5"/>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numPr>
        <w:ilvl w:val="0"/>
        <w:numId w:val="1"/>
      </w:numPr>
      <w:outlineLvl w:val="9"/>
    </w:pPr>
    <w:rPr/>
  </w:style>
  <w:style w:type="paragraph" w:styleId="FrontMatterTitle" w:customStyle="1">
    <w:name w:val="Front Matter Title"/>
    <w:basedOn w:val="Normal"/>
    <w:qFormat/>
    <w:pPr>
      <w:widowControl/>
      <w:bidi w:val="0"/>
      <w:spacing w:lineRule="auto" w:line="276" w:before="0" w:after="360"/>
      <w:ind w:hanging="0"/>
      <w:jc w:val="center"/>
    </w:pPr>
    <w:rPr>
      <w:rFonts w:ascii="Times New Roman" w:hAnsi="Times New Roman" w:eastAsia="黑体" w:cs="Times New Roman"/>
      <w:b/>
      <w:color w:val="000000"/>
      <w:kern w:val="0"/>
      <w:sz w:val="44"/>
      <w:szCs w:val="22"/>
      <w:lang w:val="en-US" w:eastAsia="en-US" w:bidi="ar-SA"/>
    </w:rPr>
  </w:style>
  <w:style w:type="paragraph" w:styleId="TOC1">
    <w:name w:val="toc 1"/>
    <w:basedOn w:val="Index"/>
    <w:pPr>
      <w:tabs>
        <w:tab w:val="clear" w:pos="720"/>
        <w:tab w:val="right" w:pos="8845" w:leader="dot"/>
      </w:tabs>
      <w:ind w:hanging="0" w:start="0"/>
    </w:pPr>
    <w:rPr/>
  </w:style>
  <w:style w:type="paragraph" w:styleId="TOC2">
    <w:name w:val="toc 2"/>
    <w:basedOn w:val="Index"/>
    <w:pPr>
      <w:tabs>
        <w:tab w:val="clear" w:pos="720"/>
        <w:tab w:val="right" w:pos="8562" w:leader="dot"/>
      </w:tabs>
      <w:ind w:hanging="0" w:start="283"/>
    </w:pPr>
    <w:rPr/>
  </w:style>
  <w:style w:type="paragraph" w:styleId="Style5" w:customStyle="1">
    <w:name w:val="正文"/>
    <w:basedOn w:val="Normal"/>
    <w:qFormat/>
    <w:pPr>
      <w:spacing w:lineRule="auto" w:line="360" w:before="0" w:after="0"/>
      <w:ind w:firstLine="420" w:start="0" w:end="0"/>
      <w:jc w:val="both"/>
    </w:pPr>
    <w:rPr>
      <w:rFonts w:ascii="Times New Roman" w:hAnsi="Times New Roman" w:eastAsia="仿宋" w:cs="Times New Roman"/>
      <w:b w:val="false"/>
      <w:color w:val="000000"/>
      <w:sz w:val="24"/>
      <w:szCs w:val="24"/>
    </w:rPr>
  </w:style>
  <w:style w:type="paragraph" w:styleId="Style6" w:customStyle="1">
    <w:name w:val="表格表头"/>
    <w:basedOn w:val="Normal"/>
    <w:qFormat/>
    <w:pPr>
      <w:widowControl/>
      <w:bidi w:val="0"/>
      <w:spacing w:lineRule="auto" w:line="240" w:before="0" w:after="0"/>
      <w:ind w:hanging="0" w:start="0" w:end="0"/>
      <w:jc w:val="center"/>
    </w:pPr>
    <w:rPr>
      <w:rFonts w:ascii="Times New Roman" w:hAnsi="Times New Roman" w:eastAsia="黑体" w:cs="Times New Roman"/>
      <w:b/>
      <w:bCs/>
      <w:color w:val="000000"/>
      <w:kern w:val="0"/>
      <w:sz w:val="21"/>
      <w:szCs w:val="21"/>
      <w:lang w:val="en-US" w:eastAsia="en-US" w:bidi="ar-SA"/>
    </w:rPr>
  </w:style>
  <w:style w:type="paragraph" w:styleId="Style7" w:customStyle="1">
    <w:name w:val="表格正文"/>
    <w:basedOn w:val="Normal"/>
    <w:qFormat/>
    <w:pPr>
      <w:widowControl/>
      <w:bidi w:val="0"/>
      <w:spacing w:lineRule="auto" w:line="240" w:before="0" w:after="0"/>
      <w:ind w:hanging="0" w:start="0" w:end="0"/>
      <w:jc w:val="start"/>
    </w:pPr>
    <w:rPr>
      <w:rFonts w:ascii="Times New Roman" w:hAnsi="Times New Roman" w:eastAsia="仿宋" w:cs="Times New Roman"/>
      <w:b w:val="false"/>
      <w:color w:val="000000"/>
      <w:kern w:val="0"/>
      <w:sz w:val="21"/>
      <w:szCs w:val="21"/>
      <w:lang w:val="en-US" w:eastAsia="en-US" w:bidi="ar-SA"/>
    </w:rPr>
  </w:style>
  <w:style w:type="paragraph" w:styleId="-" w:customStyle="1">
    <w:name w:val="表格正文-居中"/>
    <w:basedOn w:val="Normal"/>
    <w:qFormat/>
    <w:pPr>
      <w:widowControl/>
      <w:bidi w:val="0"/>
      <w:spacing w:lineRule="auto" w:line="240" w:before="0" w:after="0"/>
      <w:ind w:hanging="0" w:start="0" w:end="0"/>
      <w:jc w:val="center"/>
    </w:pPr>
    <w:rPr>
      <w:rFonts w:ascii="Times New Roman" w:hAnsi="Times New Roman" w:eastAsia="仿宋" w:cs="Times New Roman"/>
      <w:b w:val="false"/>
      <w:color w:val="000000"/>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39</Pages>
  <Words>21008</Words>
  <Characters>22061</Characters>
  <CharactersWithSpaces>22244</CharactersWithSpaces>
  <Paragraphs>911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项目课题组</dc:creator>
  <dc:description>generated by python-docx</dc:description>
  <cp:keywords>课题4 中长期负荷预测 典型区域验证 源荷匹配</cp:keywords>
  <dc:language>en-US</dc:language>
  <cp:lastModifiedBy/>
  <dcterms:modified xsi:type="dcterms:W3CDTF">2026-08-25T06:48:22Z</dcterms:modified>
  <cp:revision>4</cp:revision>
  <dc:subject>支撑电网中长期规划的负荷预测模块研发与应用</dc:subject>
  <dc:title>课题4实施方案 V1.1</dc:title>
</cp:coreProperties>
</file>

<file path=docProps/custom.xml><?xml version="1.0" encoding="utf-8"?>
<Properties xmlns="http://schemas.openxmlformats.org/officeDocument/2006/custom-properties" xmlns:vt="http://schemas.openxmlformats.org/officeDocument/2006/docPropsVTypes"/>
</file>