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647CCB">
      <w:pPr>
        <w:shd w:val="clear" w:color="auto" w:fill="auto"/>
        <w:spacing w:line="240" w:lineRule="auto"/>
        <w:jc w:val="center"/>
        <w:textAlignment w:val="center"/>
        <w:rPr>
          <w:rFonts w:hint="eastAsia"/>
          <w:b/>
          <w:bCs/>
          <w:sz w:val="24"/>
          <w:szCs w:val="28"/>
          <w:lang w:val="en-US" w:eastAsia="zh-CN"/>
        </w:rPr>
      </w:pPr>
      <w:r>
        <w:rPr>
          <w:rFonts w:hint="eastAsia"/>
          <w:b/>
          <w:bCs/>
          <w:sz w:val="24"/>
          <w:szCs w:val="28"/>
          <w:lang w:val="en-US" w:eastAsia="zh-CN"/>
        </w:rPr>
        <w:t>蚌埠第二中学2025-2026学年第二学期高二年级生物学科第17次周末作业</w:t>
      </w:r>
    </w:p>
    <w:p w14:paraId="563F9F70">
      <w:pPr>
        <w:shd w:val="clear" w:color="auto" w:fill="auto"/>
        <w:spacing w:line="240" w:lineRule="auto"/>
        <w:ind w:firstLine="3123" w:firstLineChars="1300"/>
        <w:jc w:val="both"/>
        <w:textAlignment w:val="center"/>
        <w:rPr>
          <w:rFonts w:hint="default"/>
          <w:b/>
          <w:bCs/>
          <w:sz w:val="24"/>
          <w:szCs w:val="28"/>
          <w:lang w:val="en-US" w:eastAsia="zh-CN"/>
        </w:rPr>
      </w:pPr>
      <w:r>
        <w:rPr>
          <w:rFonts w:hint="eastAsia"/>
          <w:b/>
          <w:bCs/>
          <w:sz w:val="24"/>
          <w:szCs w:val="28"/>
          <w:lang w:val="en-US" w:eastAsia="zh-CN"/>
        </w:rPr>
        <w:t>出题人：  孙莉  审题人：黄珍</w:t>
      </w:r>
    </w:p>
    <w:p w14:paraId="72E75F3D">
      <w:pPr>
        <w:keepNext w:val="0"/>
        <w:keepLines w:val="0"/>
        <w:pageBreakBefore w:val="0"/>
        <w:widowControl w:val="0"/>
        <w:kinsoku/>
        <w:wordWrap/>
        <w:overflowPunct/>
        <w:topLinePunct w:val="0"/>
        <w:autoSpaceDE/>
        <w:autoSpaceDN/>
        <w:bidi w:val="0"/>
        <w:adjustRightInd/>
        <w:snapToGrid/>
        <w:spacing w:line="240" w:lineRule="auto"/>
        <w:ind w:left="312" w:hanging="273" w:hangingChars="130"/>
        <w:textAlignment w:val="auto"/>
      </w:pPr>
      <w:r>
        <w:rPr>
          <w:rFonts w:hint="eastAsia" w:ascii="Times New Roman" w:hAnsi="Times New Roman" w:eastAsia="新宋体"/>
          <w:sz w:val="21"/>
          <w:szCs w:val="21"/>
        </w:rPr>
        <w:t>1．罗氏沼虾壳（外骨骼）中富含几丁质和虾青素（一种类胡萝卜素）等，其中虾青素与蛋白质结合呈现青色，高温烹饪过程中虾青素与蛋白质结合变弱呈现橘红色。相关叙述</w:t>
      </w:r>
      <w:r>
        <w:rPr>
          <w:rFonts w:hint="eastAsia" w:ascii="Times New Roman" w:hAnsi="Times New Roman" w:eastAsia="新宋体"/>
          <w:sz w:val="21"/>
          <w:szCs w:val="21"/>
          <w:em w:val="dot"/>
        </w:rPr>
        <w:t>错误</w:t>
      </w:r>
      <w:r>
        <w:rPr>
          <w:rFonts w:hint="eastAsia" w:ascii="Times New Roman" w:hAnsi="Times New Roman" w:eastAsia="新宋体"/>
          <w:sz w:val="21"/>
          <w:szCs w:val="21"/>
        </w:rPr>
        <w:t>的是（　　）</w:t>
      </w:r>
    </w:p>
    <w:p w14:paraId="4246D94C">
      <w:pPr>
        <w:keepNext w:val="0"/>
        <w:keepLines w:val="0"/>
        <w:pageBreakBefore w:val="0"/>
        <w:widowControl w:val="0"/>
        <w:kinsoku/>
        <w:wordWrap/>
        <w:overflowPunct/>
        <w:topLinePunct w:val="0"/>
        <w:autoSpaceDE/>
        <w:autoSpaceDN/>
        <w:bidi w:val="0"/>
        <w:adjustRightInd/>
        <w:snapToGrid/>
        <w:spacing w:line="240" w:lineRule="auto"/>
        <w:ind w:firstLine="273" w:firstLineChars="130"/>
        <w:jc w:val="left"/>
        <w:textAlignment w:val="auto"/>
      </w:pPr>
      <w:r>
        <w:rPr>
          <w:rFonts w:hint="eastAsia" w:ascii="Times New Roman" w:hAnsi="Times New Roman" w:eastAsia="新宋体"/>
          <w:sz w:val="21"/>
          <w:szCs w:val="21"/>
        </w:rPr>
        <w:t>A．虾壳中的几丁质是一种多糖，能与重金属离子结合</w:t>
      </w:r>
      <w:r>
        <w:tab/>
      </w:r>
    </w:p>
    <w:p w14:paraId="42F825A4">
      <w:pPr>
        <w:keepNext w:val="0"/>
        <w:keepLines w:val="0"/>
        <w:pageBreakBefore w:val="0"/>
        <w:widowControl w:val="0"/>
        <w:kinsoku/>
        <w:wordWrap/>
        <w:overflowPunct/>
        <w:topLinePunct w:val="0"/>
        <w:autoSpaceDE/>
        <w:autoSpaceDN/>
        <w:bidi w:val="0"/>
        <w:adjustRightInd/>
        <w:snapToGrid/>
        <w:spacing w:line="240" w:lineRule="auto"/>
        <w:ind w:firstLine="273" w:firstLineChars="130"/>
        <w:jc w:val="left"/>
        <w:textAlignment w:val="auto"/>
      </w:pPr>
      <w:r>
        <w:rPr>
          <w:rFonts w:hint="eastAsia" w:ascii="Times New Roman" w:hAnsi="Times New Roman" w:eastAsia="新宋体"/>
          <w:sz w:val="21"/>
          <w:szCs w:val="21"/>
        </w:rPr>
        <w:t>B．虾壳中的虾青素是一种脂溶性色素，含C、H、O</w:t>
      </w:r>
      <w:r>
        <w:tab/>
      </w:r>
    </w:p>
    <w:p w14:paraId="1EA4DD7D">
      <w:pPr>
        <w:keepNext w:val="0"/>
        <w:keepLines w:val="0"/>
        <w:pageBreakBefore w:val="0"/>
        <w:widowControl w:val="0"/>
        <w:kinsoku/>
        <w:wordWrap/>
        <w:overflowPunct/>
        <w:topLinePunct w:val="0"/>
        <w:autoSpaceDE/>
        <w:autoSpaceDN/>
        <w:bidi w:val="0"/>
        <w:adjustRightInd/>
        <w:snapToGrid/>
        <w:spacing w:line="240" w:lineRule="auto"/>
        <w:ind w:firstLine="273" w:firstLineChars="130"/>
        <w:jc w:val="left"/>
        <w:textAlignment w:val="auto"/>
      </w:pPr>
      <w:r>
        <w:rPr>
          <w:rFonts w:hint="eastAsia" w:ascii="Times New Roman" w:hAnsi="Times New Roman" w:eastAsia="新宋体"/>
          <w:sz w:val="21"/>
          <w:szCs w:val="21"/>
        </w:rPr>
        <w:t>C．虾壳中蛋白质含量最高，其基本组成单位是氨基酸</w:t>
      </w:r>
      <w:r>
        <w:tab/>
      </w:r>
    </w:p>
    <w:p w14:paraId="4F0E6913">
      <w:pPr>
        <w:keepNext w:val="0"/>
        <w:keepLines w:val="0"/>
        <w:pageBreakBefore w:val="0"/>
        <w:widowControl w:val="0"/>
        <w:kinsoku/>
        <w:wordWrap/>
        <w:overflowPunct/>
        <w:topLinePunct w:val="0"/>
        <w:autoSpaceDE/>
        <w:autoSpaceDN/>
        <w:bidi w:val="0"/>
        <w:adjustRightInd/>
        <w:snapToGrid/>
        <w:spacing w:line="240" w:lineRule="auto"/>
        <w:ind w:firstLine="273" w:firstLineChars="130"/>
        <w:jc w:val="left"/>
        <w:textAlignment w:val="auto"/>
      </w:pPr>
      <w:r>
        <w:rPr>
          <w:rFonts w:hint="eastAsia" w:ascii="Times New Roman" w:hAnsi="Times New Roman" w:eastAsia="新宋体"/>
          <w:sz w:val="21"/>
          <w:szCs w:val="21"/>
        </w:rPr>
        <w:t>D．高温会破坏蛋白质的空间结构，使其与虾青素结合减弱</w:t>
      </w:r>
    </w:p>
    <w:p w14:paraId="331BD431">
      <w:pPr>
        <w:keepNext w:val="0"/>
        <w:keepLines w:val="0"/>
        <w:pageBreakBefore w:val="0"/>
        <w:widowControl w:val="0"/>
        <w:kinsoku/>
        <w:wordWrap/>
        <w:overflowPunct/>
        <w:topLinePunct w:val="0"/>
        <w:autoSpaceDE/>
        <w:autoSpaceDN/>
        <w:bidi w:val="0"/>
        <w:adjustRightInd/>
        <w:snapToGrid/>
        <w:spacing w:line="240" w:lineRule="auto"/>
        <w:ind w:left="312" w:hanging="273" w:hangingChars="130"/>
        <w:textAlignment w:val="auto"/>
      </w:pPr>
      <w:r>
        <w:rPr>
          <w:rFonts w:hint="eastAsia" w:ascii="Times New Roman" w:hAnsi="Times New Roman" w:eastAsia="新宋体"/>
          <w:sz w:val="21"/>
          <w:szCs w:val="21"/>
        </w:rPr>
        <w:t>2．非洲马拉维湖中的慈鲷鱼包含100多个物种，它们由共同祖先进化而来，体色、食性和栖息地呈现显著差异。相关叙述正确的是（　　）</w:t>
      </w:r>
    </w:p>
    <w:p w14:paraId="1C1048AE">
      <w:pPr>
        <w:keepNext w:val="0"/>
        <w:keepLines w:val="0"/>
        <w:pageBreakBefore w:val="0"/>
        <w:widowControl w:val="0"/>
        <w:kinsoku/>
        <w:wordWrap/>
        <w:overflowPunct/>
        <w:topLinePunct w:val="0"/>
        <w:autoSpaceDE/>
        <w:autoSpaceDN/>
        <w:bidi w:val="0"/>
        <w:adjustRightInd/>
        <w:snapToGrid/>
        <w:spacing w:line="240" w:lineRule="auto"/>
        <w:ind w:firstLine="273" w:firstLineChars="130"/>
        <w:jc w:val="left"/>
        <w:textAlignment w:val="auto"/>
      </w:pPr>
      <w:r>
        <w:rPr>
          <w:rFonts w:hint="eastAsia" w:ascii="Times New Roman" w:hAnsi="Times New Roman" w:eastAsia="新宋体"/>
          <w:sz w:val="21"/>
          <w:szCs w:val="21"/>
        </w:rPr>
        <w:t>A．非洲马拉维湖中慈鲷鱼的全部基因构成一个基因库</w:t>
      </w:r>
      <w:r>
        <w:tab/>
      </w:r>
    </w:p>
    <w:p w14:paraId="44FE8A11">
      <w:pPr>
        <w:keepNext w:val="0"/>
        <w:keepLines w:val="0"/>
        <w:pageBreakBefore w:val="0"/>
        <w:widowControl w:val="0"/>
        <w:kinsoku/>
        <w:wordWrap/>
        <w:overflowPunct/>
        <w:topLinePunct w:val="0"/>
        <w:autoSpaceDE/>
        <w:autoSpaceDN/>
        <w:bidi w:val="0"/>
        <w:adjustRightInd/>
        <w:snapToGrid/>
        <w:spacing w:line="240" w:lineRule="auto"/>
        <w:ind w:firstLine="273" w:firstLineChars="130"/>
        <w:jc w:val="left"/>
        <w:textAlignment w:val="auto"/>
      </w:pPr>
      <w:r>
        <w:rPr>
          <w:rFonts w:hint="eastAsia" w:ascii="Times New Roman" w:hAnsi="Times New Roman" w:eastAsia="新宋体"/>
          <w:sz w:val="21"/>
          <w:szCs w:val="21"/>
        </w:rPr>
        <w:t>B．浅水区和深水区慈鲷鱼体色的差异是自然选择的结果</w:t>
      </w:r>
      <w:r>
        <w:tab/>
      </w:r>
    </w:p>
    <w:p w14:paraId="0B2B37EE">
      <w:pPr>
        <w:keepNext w:val="0"/>
        <w:keepLines w:val="0"/>
        <w:pageBreakBefore w:val="0"/>
        <w:widowControl w:val="0"/>
        <w:kinsoku/>
        <w:wordWrap/>
        <w:overflowPunct/>
        <w:topLinePunct w:val="0"/>
        <w:autoSpaceDE/>
        <w:autoSpaceDN/>
        <w:bidi w:val="0"/>
        <w:adjustRightInd/>
        <w:snapToGrid/>
        <w:spacing w:line="240" w:lineRule="auto"/>
        <w:ind w:firstLine="273" w:firstLineChars="130"/>
        <w:jc w:val="left"/>
        <w:textAlignment w:val="auto"/>
      </w:pPr>
      <w:r>
        <w:rPr>
          <w:rFonts w:hint="eastAsia" w:ascii="Times New Roman" w:hAnsi="Times New Roman" w:eastAsia="新宋体"/>
          <w:sz w:val="21"/>
          <w:szCs w:val="21"/>
        </w:rPr>
        <w:t>C．食性和栖息地呈现显著差异是慈鲷鱼形成新物种的标志</w:t>
      </w:r>
      <w:r>
        <w:tab/>
      </w:r>
    </w:p>
    <w:p w14:paraId="1EDF528C">
      <w:pPr>
        <w:keepNext w:val="0"/>
        <w:keepLines w:val="0"/>
        <w:pageBreakBefore w:val="0"/>
        <w:widowControl w:val="0"/>
        <w:kinsoku/>
        <w:wordWrap/>
        <w:overflowPunct/>
        <w:topLinePunct w:val="0"/>
        <w:autoSpaceDE/>
        <w:autoSpaceDN/>
        <w:bidi w:val="0"/>
        <w:adjustRightInd/>
        <w:snapToGrid/>
        <w:spacing w:line="240" w:lineRule="auto"/>
        <w:ind w:firstLine="273" w:firstLineChars="130"/>
        <w:jc w:val="left"/>
        <w:textAlignment w:val="auto"/>
      </w:pPr>
      <w:r>
        <w:rPr>
          <w:rFonts w:hint="eastAsia" w:ascii="Times New Roman" w:hAnsi="Times New Roman" w:eastAsia="新宋体"/>
          <w:sz w:val="21"/>
          <w:szCs w:val="21"/>
        </w:rPr>
        <w:t>D．慈鲷鱼的突变和基因重组是自然选择的前提，决定进化的方向</w:t>
      </w:r>
    </w:p>
    <w:p w14:paraId="312B0462">
      <w:pPr>
        <w:keepNext w:val="0"/>
        <w:keepLines w:val="0"/>
        <w:pageBreakBefore w:val="0"/>
        <w:widowControl w:val="0"/>
        <w:kinsoku/>
        <w:wordWrap/>
        <w:overflowPunct/>
        <w:topLinePunct w:val="0"/>
        <w:autoSpaceDE/>
        <w:autoSpaceDN/>
        <w:bidi w:val="0"/>
        <w:adjustRightInd/>
        <w:snapToGrid/>
        <w:spacing w:line="240" w:lineRule="auto"/>
        <w:ind w:left="312" w:hanging="273" w:hangingChars="130"/>
        <w:textAlignment w:val="auto"/>
      </w:pPr>
      <w:r>
        <w:rPr>
          <w:rFonts w:hint="eastAsia" w:ascii="Times New Roman" w:hAnsi="Times New Roman" w:eastAsia="新宋体"/>
          <w:sz w:val="21"/>
          <w:szCs w:val="21"/>
        </w:rPr>
        <w:t>3．下列关于植物生命活动调节的叙述</w:t>
      </w:r>
      <w:r>
        <w:rPr>
          <w:rFonts w:hint="eastAsia" w:ascii="Times New Roman" w:hAnsi="Times New Roman" w:eastAsia="新宋体"/>
          <w:sz w:val="21"/>
          <w:szCs w:val="21"/>
          <w:em w:val="dot"/>
        </w:rPr>
        <w:t>错误</w:t>
      </w:r>
      <w:r>
        <w:rPr>
          <w:rFonts w:hint="eastAsia" w:ascii="Times New Roman" w:hAnsi="Times New Roman" w:eastAsia="新宋体"/>
          <w:sz w:val="21"/>
          <w:szCs w:val="21"/>
        </w:rPr>
        <w:t>的是（　　）</w:t>
      </w:r>
    </w:p>
    <w:p w14:paraId="425A7D52">
      <w:pPr>
        <w:keepNext w:val="0"/>
        <w:keepLines w:val="0"/>
        <w:pageBreakBefore w:val="0"/>
        <w:widowControl w:val="0"/>
        <w:kinsoku/>
        <w:wordWrap/>
        <w:overflowPunct/>
        <w:topLinePunct w:val="0"/>
        <w:autoSpaceDE/>
        <w:autoSpaceDN/>
        <w:bidi w:val="0"/>
        <w:adjustRightInd/>
        <w:snapToGrid/>
        <w:spacing w:line="240" w:lineRule="auto"/>
        <w:ind w:firstLine="273" w:firstLineChars="130"/>
        <w:jc w:val="left"/>
        <w:textAlignment w:val="auto"/>
      </w:pPr>
      <w:r>
        <w:rPr>
          <w:rFonts w:hint="eastAsia" w:ascii="Times New Roman" w:hAnsi="Times New Roman" w:eastAsia="新宋体"/>
          <w:sz w:val="21"/>
          <w:szCs w:val="21"/>
        </w:rPr>
        <w:t>A．冬小麦要经历春化作用才能开花是温度调节植物生长发育的结果</w:t>
      </w:r>
      <w:r>
        <w:tab/>
      </w:r>
    </w:p>
    <w:p w14:paraId="2D0D8295">
      <w:pPr>
        <w:keepNext w:val="0"/>
        <w:keepLines w:val="0"/>
        <w:pageBreakBefore w:val="0"/>
        <w:widowControl w:val="0"/>
        <w:kinsoku/>
        <w:wordWrap/>
        <w:overflowPunct/>
        <w:topLinePunct w:val="0"/>
        <w:autoSpaceDE/>
        <w:autoSpaceDN/>
        <w:bidi w:val="0"/>
        <w:adjustRightInd/>
        <w:snapToGrid/>
        <w:spacing w:line="240" w:lineRule="auto"/>
        <w:ind w:firstLine="273" w:firstLineChars="130"/>
        <w:jc w:val="left"/>
        <w:textAlignment w:val="auto"/>
      </w:pPr>
      <w:r>
        <w:rPr>
          <w:rFonts w:hint="eastAsia" w:ascii="Times New Roman" w:hAnsi="Times New Roman" w:eastAsia="新宋体"/>
          <w:sz w:val="21"/>
          <w:szCs w:val="21"/>
        </w:rPr>
        <w:t>B．水稻倒伏后，茎的背地性生长与重力引起近地侧生长素含量较高有关</w:t>
      </w:r>
      <w:r>
        <w:tab/>
      </w:r>
    </w:p>
    <w:p w14:paraId="359060D7">
      <w:pPr>
        <w:keepNext w:val="0"/>
        <w:keepLines w:val="0"/>
        <w:pageBreakBefore w:val="0"/>
        <w:widowControl w:val="0"/>
        <w:kinsoku/>
        <w:wordWrap/>
        <w:overflowPunct/>
        <w:topLinePunct w:val="0"/>
        <w:autoSpaceDE/>
        <w:autoSpaceDN/>
        <w:bidi w:val="0"/>
        <w:adjustRightInd/>
        <w:snapToGrid/>
        <w:spacing w:line="240" w:lineRule="auto"/>
        <w:ind w:firstLine="273" w:firstLineChars="130"/>
        <w:jc w:val="left"/>
        <w:textAlignment w:val="auto"/>
      </w:pPr>
      <w:r>
        <w:rPr>
          <w:rFonts w:hint="eastAsia" w:ascii="Times New Roman" w:hAnsi="Times New Roman" w:eastAsia="新宋体"/>
          <w:sz w:val="21"/>
          <w:szCs w:val="21"/>
        </w:rPr>
        <w:t>C．土壤干旱时，油菜根部合成的赤霉素向上极性运输可引起气孔关闭</w:t>
      </w:r>
      <w:r>
        <w:tab/>
      </w:r>
    </w:p>
    <w:p w14:paraId="00E8271B">
      <w:pPr>
        <w:keepNext w:val="0"/>
        <w:keepLines w:val="0"/>
        <w:pageBreakBefore w:val="0"/>
        <w:widowControl w:val="0"/>
        <w:kinsoku/>
        <w:wordWrap/>
        <w:overflowPunct/>
        <w:topLinePunct w:val="0"/>
        <w:autoSpaceDE/>
        <w:autoSpaceDN/>
        <w:bidi w:val="0"/>
        <w:adjustRightInd/>
        <w:snapToGrid/>
        <w:spacing w:line="240" w:lineRule="auto"/>
        <w:ind w:firstLine="273" w:firstLineChars="130"/>
        <w:jc w:val="left"/>
        <w:textAlignment w:val="auto"/>
      </w:pPr>
      <w:r>
        <w:rPr>
          <w:rFonts w:hint="eastAsia" w:ascii="Times New Roman" w:hAnsi="Times New Roman" w:eastAsia="新宋体"/>
          <w:sz w:val="21"/>
          <w:szCs w:val="21"/>
        </w:rPr>
        <w:t>D．植物生长发育过程中，多种激素共同起作用，且表现出一定的顺序性</w:t>
      </w:r>
    </w:p>
    <w:p w14:paraId="04C4ECBA">
      <w:pPr>
        <w:keepNext w:val="0"/>
        <w:keepLines w:val="0"/>
        <w:pageBreakBefore w:val="0"/>
        <w:widowControl w:val="0"/>
        <w:kinsoku/>
        <w:wordWrap/>
        <w:overflowPunct/>
        <w:topLinePunct w:val="0"/>
        <w:autoSpaceDE/>
        <w:autoSpaceDN/>
        <w:bidi w:val="0"/>
        <w:adjustRightInd/>
        <w:snapToGrid/>
        <w:spacing w:line="240" w:lineRule="auto"/>
        <w:ind w:left="312" w:hanging="273" w:hangingChars="130"/>
        <w:textAlignment w:val="auto"/>
      </w:pPr>
      <w:r>
        <w:rPr>
          <w:rFonts w:hint="eastAsia" w:ascii="Times New Roman" w:hAnsi="Times New Roman" w:eastAsia="新宋体"/>
          <w:sz w:val="21"/>
          <w:szCs w:val="21"/>
        </w:rPr>
        <w:t>4．研究发现，挑食行为不仅与喜好有关，还与食物过敏相关。下图表示因过敏反应导致挑食行为的部分过程，相关叙述正确的是（　　）</w:t>
      </w:r>
    </w:p>
    <w:p w14:paraId="5ADE0467">
      <w:pPr>
        <w:keepNext w:val="0"/>
        <w:keepLines w:val="0"/>
        <w:pageBreakBefore w:val="0"/>
        <w:widowControl w:val="0"/>
        <w:kinsoku/>
        <w:wordWrap/>
        <w:overflowPunct/>
        <w:topLinePunct w:val="0"/>
        <w:autoSpaceDE/>
        <w:autoSpaceDN/>
        <w:bidi w:val="0"/>
        <w:adjustRightInd/>
        <w:snapToGrid/>
        <w:spacing w:line="240" w:lineRule="auto"/>
        <w:ind w:left="273" w:leftChars="130" w:right="0" w:firstLine="0" w:firstLineChars="0"/>
        <w:textAlignment w:val="auto"/>
      </w:pPr>
      <w:r>
        <w:rPr>
          <w:rFonts w:hint="eastAsia" w:ascii="Times New Roman" w:hAnsi="Times New Roman" w:eastAsia="新宋体"/>
          <w:sz w:val="21"/>
          <w:szCs w:val="21"/>
        </w:rPr>
        <w:drawing>
          <wp:inline distT="0" distB="0" distL="0" distR="0">
            <wp:extent cx="5059045" cy="956310"/>
            <wp:effectExtent l="0" t="0" r="20955" b="889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5" cstate="print"/>
                    <a:stretch>
                      <a:fillRect/>
                    </a:stretch>
                  </pic:blipFill>
                  <pic:spPr>
                    <a:xfrm>
                      <a:off x="0" y="0"/>
                      <a:ext cx="5059045" cy="956310"/>
                    </a:xfrm>
                    <a:prstGeom prst="rect">
                      <a:avLst/>
                    </a:prstGeom>
                  </pic:spPr>
                </pic:pic>
              </a:graphicData>
            </a:graphic>
          </wp:inline>
        </w:drawing>
      </w:r>
    </w:p>
    <w:p w14:paraId="00492D3F">
      <w:pPr>
        <w:keepNext w:val="0"/>
        <w:keepLines w:val="0"/>
        <w:pageBreakBefore w:val="0"/>
        <w:widowControl w:val="0"/>
        <w:kinsoku/>
        <w:wordWrap/>
        <w:overflowPunct/>
        <w:topLinePunct w:val="0"/>
        <w:autoSpaceDE/>
        <w:autoSpaceDN/>
        <w:bidi w:val="0"/>
        <w:adjustRightInd/>
        <w:snapToGrid/>
        <w:spacing w:line="240" w:lineRule="auto"/>
        <w:ind w:firstLine="273" w:firstLineChars="130"/>
        <w:jc w:val="left"/>
        <w:textAlignment w:val="auto"/>
      </w:pPr>
      <w:r>
        <w:rPr>
          <w:rFonts w:hint="eastAsia" w:ascii="Times New Roman" w:hAnsi="Times New Roman" w:eastAsia="新宋体"/>
          <w:sz w:val="21"/>
          <w:szCs w:val="21"/>
        </w:rPr>
        <w:t>A．过敏反应是由机体免疫监测功能过强引发的免疫失调</w:t>
      </w:r>
      <w:r>
        <w:tab/>
      </w:r>
    </w:p>
    <w:p w14:paraId="716FA327">
      <w:pPr>
        <w:keepNext w:val="0"/>
        <w:keepLines w:val="0"/>
        <w:pageBreakBefore w:val="0"/>
        <w:widowControl w:val="0"/>
        <w:kinsoku/>
        <w:wordWrap/>
        <w:overflowPunct/>
        <w:topLinePunct w:val="0"/>
        <w:autoSpaceDE/>
        <w:autoSpaceDN/>
        <w:bidi w:val="0"/>
        <w:adjustRightInd/>
        <w:snapToGrid/>
        <w:spacing w:line="240" w:lineRule="auto"/>
        <w:ind w:firstLine="273" w:firstLineChars="130"/>
        <w:jc w:val="left"/>
        <w:textAlignment w:val="auto"/>
      </w:pPr>
      <w:r>
        <w:rPr>
          <w:rFonts w:hint="eastAsia" w:ascii="Times New Roman" w:hAnsi="Times New Roman" w:eastAsia="新宋体"/>
          <w:sz w:val="21"/>
          <w:szCs w:val="21"/>
        </w:rPr>
        <w:t>B．组胺可引起毛细血管通透性减弱而出现过敏反应</w:t>
      </w:r>
      <w:r>
        <w:tab/>
      </w:r>
    </w:p>
    <w:p w14:paraId="79FD9ACB">
      <w:pPr>
        <w:keepNext w:val="0"/>
        <w:keepLines w:val="0"/>
        <w:pageBreakBefore w:val="0"/>
        <w:widowControl w:val="0"/>
        <w:kinsoku/>
        <w:wordWrap/>
        <w:overflowPunct/>
        <w:topLinePunct w:val="0"/>
        <w:autoSpaceDE/>
        <w:autoSpaceDN/>
        <w:bidi w:val="0"/>
        <w:adjustRightInd/>
        <w:snapToGrid/>
        <w:spacing w:line="240" w:lineRule="auto"/>
        <w:ind w:firstLine="273" w:firstLineChars="130"/>
        <w:jc w:val="left"/>
        <w:textAlignment w:val="auto"/>
      </w:pPr>
      <w:r>
        <w:rPr>
          <w:rFonts w:hint="eastAsia" w:ascii="Times New Roman" w:hAnsi="Times New Roman" w:eastAsia="新宋体"/>
          <w:sz w:val="21"/>
          <w:szCs w:val="21"/>
        </w:rPr>
        <w:t>C．食物过敏原初次进入机体就会引起图中的挑食行为</w:t>
      </w:r>
      <w:r>
        <w:tab/>
      </w:r>
    </w:p>
    <w:p w14:paraId="146A4E4C">
      <w:pPr>
        <w:keepNext w:val="0"/>
        <w:keepLines w:val="0"/>
        <w:pageBreakBefore w:val="0"/>
        <w:widowControl w:val="0"/>
        <w:kinsoku/>
        <w:wordWrap/>
        <w:overflowPunct/>
        <w:topLinePunct w:val="0"/>
        <w:autoSpaceDE/>
        <w:autoSpaceDN/>
        <w:bidi w:val="0"/>
        <w:adjustRightInd/>
        <w:snapToGrid/>
        <w:spacing w:line="240" w:lineRule="auto"/>
        <w:ind w:firstLine="273" w:firstLineChars="130"/>
        <w:jc w:val="left"/>
        <w:textAlignment w:val="auto"/>
      </w:pPr>
      <w:r>
        <w:rPr>
          <w:rFonts w:hint="eastAsia" w:ascii="Times New Roman" w:hAnsi="Times New Roman" w:eastAsia="新宋体"/>
          <w:sz w:val="21"/>
          <w:szCs w:val="21"/>
        </w:rPr>
        <w:t>D．图中挑食行为有利于减少IgE的产生，保护机体</w:t>
      </w:r>
    </w:p>
    <w:p w14:paraId="0B9885F5">
      <w:pPr>
        <w:keepNext w:val="0"/>
        <w:keepLines w:val="0"/>
        <w:pageBreakBefore w:val="0"/>
        <w:widowControl w:val="0"/>
        <w:kinsoku/>
        <w:wordWrap/>
        <w:overflowPunct/>
        <w:topLinePunct w:val="0"/>
        <w:autoSpaceDE/>
        <w:autoSpaceDN/>
        <w:bidi w:val="0"/>
        <w:adjustRightInd/>
        <w:snapToGrid/>
        <w:spacing w:line="240" w:lineRule="auto"/>
        <w:ind w:left="312" w:hanging="273" w:hangingChars="130"/>
        <w:textAlignment w:val="auto"/>
      </w:pPr>
      <w:r>
        <w:rPr>
          <w:rFonts w:hint="eastAsia" w:ascii="Times New Roman" w:hAnsi="Times New Roman" w:eastAsia="新宋体"/>
          <w:sz w:val="21"/>
          <w:szCs w:val="21"/>
        </w:rPr>
        <w:drawing>
          <wp:anchor distT="0" distB="0" distL="0" distR="0" simplePos="0" relativeHeight="251659264" behindDoc="0" locked="0" layoutInCell="1" allowOverlap="1">
            <wp:simplePos x="0" y="0"/>
            <wp:positionH relativeFrom="column">
              <wp:posOffset>-60325</wp:posOffset>
            </wp:positionH>
            <wp:positionV relativeFrom="paragraph">
              <wp:posOffset>257175</wp:posOffset>
            </wp:positionV>
            <wp:extent cx="3683635" cy="2770505"/>
            <wp:effectExtent l="0" t="0" r="24765" b="23495"/>
            <wp:wrapSquare wrapText="bothSides"/>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6" cstate="print"/>
                    <a:stretch>
                      <a:fillRect/>
                    </a:stretch>
                  </pic:blipFill>
                  <pic:spPr>
                    <a:xfrm>
                      <a:off x="0" y="0"/>
                      <a:ext cx="3683635" cy="2770505"/>
                    </a:xfrm>
                    <a:prstGeom prst="rect">
                      <a:avLst/>
                    </a:prstGeom>
                  </pic:spPr>
                </pic:pic>
              </a:graphicData>
            </a:graphic>
          </wp:anchor>
        </w:drawing>
      </w:r>
      <w:r>
        <w:rPr>
          <w:rFonts w:hint="eastAsia" w:ascii="Times New Roman" w:hAnsi="Times New Roman" w:eastAsia="新宋体"/>
          <w:sz w:val="21"/>
          <w:szCs w:val="21"/>
        </w:rPr>
        <w:t>5．科研人员提取莱茵衣藻的类囊体并构建了人工光合细胞，其光合作用过程如图所示，请回答下列问题：</w:t>
      </w:r>
    </w:p>
    <w:p w14:paraId="06F1B3FD">
      <w:pPr>
        <w:keepNext w:val="0"/>
        <w:keepLines w:val="0"/>
        <w:pageBreakBefore w:val="0"/>
        <w:widowControl w:val="0"/>
        <w:kinsoku/>
        <w:wordWrap/>
        <w:overflowPunct/>
        <w:topLinePunct w:val="0"/>
        <w:autoSpaceDE/>
        <w:autoSpaceDN/>
        <w:bidi w:val="0"/>
        <w:adjustRightInd/>
        <w:snapToGrid/>
        <w:spacing w:line="240" w:lineRule="auto"/>
        <w:ind w:left="273" w:leftChars="130" w:right="0" w:firstLine="0" w:firstLineChars="0"/>
        <w:textAlignment w:val="auto"/>
      </w:pPr>
      <w:r>
        <w:rPr>
          <w:rFonts w:hint="eastAsia" w:ascii="Times New Roman" w:hAnsi="Times New Roman" w:eastAsia="新宋体"/>
          <w:sz w:val="21"/>
          <w:szCs w:val="21"/>
        </w:rPr>
        <w:t>（1）提取莱茵衣藻类囊体时，先破碎细胞，采用</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法获取叶绿体，再将叶绿体置于</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溶液中使其破碎，再用</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法获得类囊体。提取莱茵衣藻类囊体前，应对其进行暗处理，其目的是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7322E5FA">
      <w:pPr>
        <w:keepNext w:val="0"/>
        <w:keepLines w:val="0"/>
        <w:pageBreakBefore w:val="0"/>
        <w:widowControl w:val="0"/>
        <w:kinsoku/>
        <w:wordWrap/>
        <w:overflowPunct/>
        <w:topLinePunct w:val="0"/>
        <w:autoSpaceDE/>
        <w:autoSpaceDN/>
        <w:bidi w:val="0"/>
        <w:adjustRightInd/>
        <w:snapToGrid/>
        <w:spacing w:line="240" w:lineRule="auto"/>
        <w:ind w:left="273" w:leftChars="130" w:right="0" w:firstLine="0" w:firstLineChars="0"/>
        <w:textAlignment w:val="auto"/>
      </w:pPr>
      <w:r>
        <w:rPr>
          <w:rFonts w:hint="eastAsia" w:ascii="Times New Roman" w:hAnsi="Times New Roman" w:eastAsia="新宋体"/>
          <w:sz w:val="21"/>
          <w:szCs w:val="21"/>
        </w:rPr>
        <w:t>（2）构建人工叶绿体前需对提取的类囊体进行功能检测，其检测指标有</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7E5CFC58">
      <w:pPr>
        <w:keepNext w:val="0"/>
        <w:keepLines w:val="0"/>
        <w:pageBreakBefore w:val="0"/>
        <w:widowControl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Times New Roman" w:hAnsi="Times New Roman" w:eastAsia="新宋体"/>
          <w:sz w:val="21"/>
          <w:szCs w:val="21"/>
        </w:rPr>
      </w:pPr>
      <w:r>
        <w:rPr>
          <w:rFonts w:hint="eastAsia" w:ascii="Times New Roman" w:hAnsi="Times New Roman" w:eastAsia="新宋体"/>
          <w:sz w:val="21"/>
          <w:szCs w:val="21"/>
        </w:rPr>
        <w:t>（3）人工光合细胞光反应过程中，提供电子的最初供体是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，电子沿着电子传递链传递过程中，H</w:t>
      </w:r>
      <w:r>
        <w:rPr>
          <w:rFonts w:hint="eastAsia" w:ascii="Times New Roman" w:hAnsi="Times New Roman" w:eastAsia="新宋体"/>
          <w:sz w:val="24"/>
          <w:szCs w:val="24"/>
          <w:vertAlign w:val="superscript"/>
        </w:rPr>
        <w:t>+</w:t>
      </w:r>
      <w:r>
        <w:rPr>
          <w:rFonts w:hint="eastAsia" w:ascii="Times New Roman" w:hAnsi="Times New Roman" w:eastAsia="新宋体"/>
          <w:sz w:val="21"/>
          <w:szCs w:val="21"/>
        </w:rPr>
        <w:t>泵入类囊体腔，为ATP的合成提供</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00212BEF">
      <w:pPr>
        <w:keepNext w:val="0"/>
        <w:keepLines w:val="0"/>
        <w:pageBreakBefore w:val="0"/>
        <w:widowControl w:val="0"/>
        <w:kinsoku/>
        <w:wordWrap/>
        <w:overflowPunct/>
        <w:topLinePunct w:val="0"/>
        <w:autoSpaceDE/>
        <w:autoSpaceDN/>
        <w:bidi w:val="0"/>
        <w:adjustRightInd/>
        <w:snapToGrid/>
        <w:spacing w:line="240" w:lineRule="auto"/>
        <w:ind w:left="273" w:leftChars="130" w:right="0" w:firstLine="0" w:firstLineChars="0"/>
        <w:textAlignment w:val="auto"/>
      </w:pPr>
      <w:r>
        <w:rPr>
          <w:rFonts w:hint="eastAsia" w:ascii="Times New Roman" w:hAnsi="Times New Roman" w:eastAsia="新宋体"/>
          <w:sz w:val="21"/>
          <w:szCs w:val="21"/>
        </w:rPr>
        <w:t>（4）人造叶绿体光反应为CETCH循环直接提供</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（物质），CETCH循环过程中固定CO</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的底物有</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C349C03">
      <w:pPr>
        <w:keepNext w:val="0"/>
        <w:keepLines w:val="0"/>
        <w:pageBreakBefore w:val="0"/>
        <w:widowControl w:val="0"/>
        <w:kinsoku/>
        <w:wordWrap/>
        <w:overflowPunct/>
        <w:topLinePunct w:val="0"/>
        <w:autoSpaceDE/>
        <w:autoSpaceDN/>
        <w:bidi w:val="0"/>
        <w:adjustRightInd/>
        <w:snapToGrid/>
        <w:spacing w:line="240" w:lineRule="auto"/>
        <w:ind w:right="0" w:firstLine="210" w:firstLineChars="100"/>
        <w:textAlignment w:val="auto"/>
      </w:pPr>
      <w:r>
        <w:rPr>
          <w:rFonts w:hint="eastAsia" w:ascii="Times New Roman" w:hAnsi="Times New Roman" w:eastAsia="新宋体"/>
          <w:sz w:val="21"/>
          <w:szCs w:val="21"/>
        </w:rPr>
        <w:t>（5）构建CETCH循环的意义有</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604A5AA0">
      <w:pPr>
        <w:keepNext w:val="0"/>
        <w:keepLines w:val="0"/>
        <w:pageBreakBefore w:val="0"/>
        <w:widowControl w:val="0"/>
        <w:kinsoku/>
        <w:wordWrap/>
        <w:overflowPunct/>
        <w:topLinePunct w:val="0"/>
        <w:autoSpaceDE/>
        <w:autoSpaceDN/>
        <w:bidi w:val="0"/>
        <w:adjustRightInd/>
        <w:snapToGrid/>
        <w:spacing w:line="240" w:lineRule="auto"/>
        <w:ind w:left="273" w:leftChars="130" w:right="0" w:firstLine="0" w:firstLineChars="0"/>
        <w:textAlignment w:val="auto"/>
      </w:pPr>
      <w:r>
        <w:rPr>
          <w:rFonts w:hint="eastAsia" w:ascii="Times New Roman" w:hAnsi="Times New Roman" w:eastAsia="Calibri"/>
          <w:sz w:val="21"/>
          <w:szCs w:val="21"/>
        </w:rPr>
        <w:t>①</w:t>
      </w:r>
      <w:r>
        <w:rPr>
          <w:rFonts w:hint="eastAsia" w:ascii="Times New Roman" w:hAnsi="Times New Roman" w:eastAsia="新宋体"/>
          <w:sz w:val="21"/>
          <w:szCs w:val="21"/>
        </w:rPr>
        <w:t>提高固碳效率以期未来取代卡尔文循环</w:t>
      </w:r>
      <w:r>
        <w:rPr>
          <w:rFonts w:hint="eastAsia" w:ascii="Times New Roman" w:hAnsi="Times New Roman" w:eastAsia="新宋体"/>
          <w:sz w:val="21"/>
          <w:szCs w:val="21"/>
          <w:lang w:val="en-US" w:eastAsia="zh-CN"/>
        </w:rPr>
        <w:t xml:space="preserve">               </w:t>
      </w:r>
      <w:r>
        <w:rPr>
          <w:rFonts w:hint="eastAsia" w:ascii="Times New Roman" w:hAnsi="Times New Roman" w:eastAsia="Calibri"/>
          <w:sz w:val="21"/>
          <w:szCs w:val="21"/>
        </w:rPr>
        <w:t>②</w:t>
      </w:r>
      <w:r>
        <w:rPr>
          <w:rFonts w:hint="eastAsia" w:ascii="Times New Roman" w:hAnsi="Times New Roman" w:eastAsia="新宋体"/>
          <w:sz w:val="21"/>
          <w:szCs w:val="21"/>
        </w:rPr>
        <w:t>根据需要，可实现对自然代谢的定向改造</w:t>
      </w:r>
    </w:p>
    <w:p w14:paraId="2B3A2B7A">
      <w:pPr>
        <w:keepNext w:val="0"/>
        <w:keepLines w:val="0"/>
        <w:pageBreakBefore w:val="0"/>
        <w:widowControl w:val="0"/>
        <w:kinsoku/>
        <w:wordWrap/>
        <w:overflowPunct/>
        <w:topLinePunct w:val="0"/>
        <w:autoSpaceDE/>
        <w:autoSpaceDN/>
        <w:bidi w:val="0"/>
        <w:adjustRightInd/>
        <w:snapToGrid/>
        <w:spacing w:line="240" w:lineRule="auto"/>
        <w:ind w:left="273" w:leftChars="130" w:right="0" w:firstLine="0" w:firstLineChars="0"/>
        <w:textAlignment w:val="auto"/>
      </w:pPr>
      <w:r>
        <w:rPr>
          <w:rFonts w:hint="eastAsia" w:ascii="Times New Roman" w:hAnsi="Times New Roman" w:eastAsia="Calibri"/>
          <w:sz w:val="21"/>
          <w:szCs w:val="21"/>
        </w:rPr>
        <w:t>③</w:t>
      </w:r>
      <w:r>
        <w:rPr>
          <w:rFonts w:hint="eastAsia" w:ascii="Times New Roman" w:hAnsi="Times New Roman" w:eastAsia="新宋体"/>
          <w:sz w:val="21"/>
          <w:szCs w:val="21"/>
        </w:rPr>
        <w:t>将CETCH循环与下游代谢耦合，生产特定产物</w:t>
      </w:r>
      <w:r>
        <w:rPr>
          <w:rFonts w:hint="eastAsia" w:ascii="Times New Roman" w:hAnsi="Times New Roman" w:eastAsia="新宋体"/>
          <w:sz w:val="21"/>
          <w:szCs w:val="21"/>
          <w:lang w:val="en-US" w:eastAsia="zh-CN"/>
        </w:rPr>
        <w:t xml:space="preserve">       </w:t>
      </w:r>
      <w:r>
        <w:rPr>
          <w:rFonts w:hint="eastAsia" w:ascii="Times New Roman" w:hAnsi="Times New Roman" w:eastAsia="Calibri"/>
          <w:sz w:val="21"/>
          <w:szCs w:val="21"/>
        </w:rPr>
        <w:t>④</w:t>
      </w:r>
      <w:r>
        <w:rPr>
          <w:rFonts w:hint="eastAsia" w:ascii="Times New Roman" w:hAnsi="Times New Roman" w:eastAsia="新宋体"/>
          <w:sz w:val="21"/>
          <w:szCs w:val="21"/>
        </w:rPr>
        <w:t>为实现碳中和提供可行的生物技术方案</w:t>
      </w:r>
    </w:p>
    <w:p w14:paraId="22927357">
      <w:pPr>
        <w:keepNext w:val="0"/>
        <w:keepLines w:val="0"/>
        <w:pageBreakBefore w:val="0"/>
        <w:widowControl w:val="0"/>
        <w:kinsoku/>
        <w:wordWrap/>
        <w:overflowPunct/>
        <w:topLinePunct w:val="0"/>
        <w:autoSpaceDE/>
        <w:autoSpaceDN/>
        <w:bidi w:val="0"/>
        <w:adjustRightInd/>
        <w:snapToGrid/>
        <w:spacing w:line="240" w:lineRule="auto"/>
        <w:ind w:left="312" w:hanging="273" w:hangingChars="130"/>
        <w:textAlignment w:val="auto"/>
      </w:pPr>
      <w:r>
        <w:rPr>
          <w:rFonts w:hint="eastAsia" w:ascii="Times New Roman" w:hAnsi="Times New Roman" w:eastAsia="新宋体"/>
          <w:sz w:val="21"/>
          <w:szCs w:val="21"/>
        </w:rPr>
        <w:t>6．水稻籽粒外壳（颖壳）的颜色由A/a、B/b、D/d三对独立遗传的基因控制，基因控制色素合成机理如图1。种植颖壳颜色不同的彩色稻，可形成优美画卷，用于旅游开发。科研人员利用纯系水稻进行了杂交实验，如图2（不考虑突变）。请回答下列问题：</w:t>
      </w:r>
    </w:p>
    <w:p w14:paraId="77C2190A">
      <w:pPr>
        <w:keepNext w:val="0"/>
        <w:keepLines w:val="0"/>
        <w:pageBreakBefore w:val="0"/>
        <w:widowControl w:val="0"/>
        <w:kinsoku/>
        <w:wordWrap/>
        <w:overflowPunct/>
        <w:topLinePunct w:val="0"/>
        <w:autoSpaceDE/>
        <w:autoSpaceDN/>
        <w:bidi w:val="0"/>
        <w:adjustRightInd/>
        <w:snapToGrid/>
        <w:spacing w:line="240" w:lineRule="auto"/>
        <w:ind w:left="273" w:leftChars="130" w:right="0" w:firstLine="0" w:firstLineChars="0"/>
        <w:textAlignment w:val="auto"/>
      </w:pPr>
      <w:r>
        <w:rPr>
          <w:rFonts w:hint="eastAsia" w:ascii="Times New Roman" w:hAnsi="Times New Roman" w:eastAsia="新宋体"/>
          <w:sz w:val="21"/>
          <w:szCs w:val="21"/>
        </w:rPr>
        <w:drawing>
          <wp:anchor distT="0" distB="0" distL="0" distR="0" simplePos="0" relativeHeight="251660288" behindDoc="0" locked="0" layoutInCell="1" allowOverlap="1">
            <wp:simplePos x="0" y="0"/>
            <wp:positionH relativeFrom="column">
              <wp:posOffset>173355</wp:posOffset>
            </wp:positionH>
            <wp:positionV relativeFrom="paragraph">
              <wp:posOffset>50800</wp:posOffset>
            </wp:positionV>
            <wp:extent cx="3826510" cy="1869440"/>
            <wp:effectExtent l="0" t="0" r="8890" b="10160"/>
            <wp:wrapSquare wrapText="bothSides"/>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7" cstate="print"/>
                    <a:stretch>
                      <a:fillRect/>
                    </a:stretch>
                  </pic:blipFill>
                  <pic:spPr>
                    <a:xfrm>
                      <a:off x="0" y="0"/>
                      <a:ext cx="3826510" cy="1869440"/>
                    </a:xfrm>
                    <a:prstGeom prst="rect">
                      <a:avLst/>
                    </a:prstGeom>
                  </pic:spPr>
                </pic:pic>
              </a:graphicData>
            </a:graphic>
          </wp:anchor>
        </w:drawing>
      </w:r>
    </w:p>
    <w:p w14:paraId="574D42D0">
      <w:pPr>
        <w:keepNext w:val="0"/>
        <w:keepLines w:val="0"/>
        <w:pageBreakBefore w:val="0"/>
        <w:widowControl w:val="0"/>
        <w:kinsoku/>
        <w:wordWrap/>
        <w:overflowPunct/>
        <w:topLinePunct w:val="0"/>
        <w:autoSpaceDE/>
        <w:autoSpaceDN/>
        <w:bidi w:val="0"/>
        <w:adjustRightInd/>
        <w:snapToGrid/>
        <w:spacing w:line="240" w:lineRule="auto"/>
        <w:ind w:left="273" w:leftChars="130" w:right="0" w:firstLine="0" w:firstLineChars="0"/>
        <w:textAlignment w:val="auto"/>
      </w:pPr>
      <w:r>
        <w:rPr>
          <w:rFonts w:hint="eastAsia" w:ascii="Times New Roman" w:hAnsi="Times New Roman" w:eastAsia="新宋体"/>
          <w:sz w:val="21"/>
          <w:szCs w:val="21"/>
        </w:rPr>
        <w:t>（1）浅绿色颖壳的水稻植株基因型有</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种，实验一浅绿色亲本的基因型是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70DD0840">
      <w:pPr>
        <w:keepNext w:val="0"/>
        <w:keepLines w:val="0"/>
        <w:pageBreakBefore w:val="0"/>
        <w:widowControl w:val="0"/>
        <w:kinsoku/>
        <w:wordWrap/>
        <w:overflowPunct/>
        <w:topLinePunct w:val="0"/>
        <w:autoSpaceDE/>
        <w:autoSpaceDN/>
        <w:bidi w:val="0"/>
        <w:adjustRightInd/>
        <w:snapToGrid/>
        <w:spacing w:line="240" w:lineRule="auto"/>
        <w:ind w:left="273" w:leftChars="130" w:right="0" w:firstLine="0" w:firstLineChars="0"/>
        <w:textAlignment w:val="auto"/>
      </w:pPr>
      <w:r>
        <w:rPr>
          <w:rFonts w:hint="eastAsia" w:ascii="Times New Roman" w:hAnsi="Times New Roman" w:eastAsia="新宋体"/>
          <w:sz w:val="21"/>
          <w:szCs w:val="21"/>
        </w:rPr>
        <w:t>（2）实验一中，F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紫色植株中杂合子占</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中能稳定遗传（自交后代颖壳颜色保持不变）的个体所占比例为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3F1183F1">
      <w:pPr>
        <w:keepNext w:val="0"/>
        <w:keepLines w:val="0"/>
        <w:pageBreakBefore w:val="0"/>
        <w:widowControl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Times New Roman" w:hAnsi="Times New Roman" w:eastAsia="新宋体"/>
          <w:sz w:val="21"/>
          <w:szCs w:val="21"/>
        </w:rPr>
      </w:pPr>
    </w:p>
    <w:p w14:paraId="3D636EAA">
      <w:pPr>
        <w:keepNext w:val="0"/>
        <w:keepLines w:val="0"/>
        <w:pageBreakBefore w:val="0"/>
        <w:widowControl w:val="0"/>
        <w:kinsoku/>
        <w:wordWrap/>
        <w:overflowPunct/>
        <w:topLinePunct w:val="0"/>
        <w:autoSpaceDE/>
        <w:autoSpaceDN/>
        <w:bidi w:val="0"/>
        <w:adjustRightInd/>
        <w:snapToGrid/>
        <w:spacing w:line="240" w:lineRule="auto"/>
        <w:ind w:left="273" w:leftChars="130" w:right="0" w:firstLine="0" w:firstLineChars="0"/>
        <w:textAlignment w:val="auto"/>
      </w:pPr>
      <w:r>
        <w:rPr>
          <w:rFonts w:hint="eastAsia" w:ascii="Times New Roman" w:hAnsi="Times New Roman" w:eastAsia="新宋体"/>
          <w:sz w:val="21"/>
          <w:szCs w:val="21"/>
        </w:rPr>
        <w:t>（3）实验二中，F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四种表型比为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棕红色水稻与黄绿色水稻杂交，后代棕红色水稻占</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02059CCA">
      <w:pPr>
        <w:keepNext w:val="0"/>
        <w:keepLines w:val="0"/>
        <w:pageBreakBefore w:val="0"/>
        <w:widowControl w:val="0"/>
        <w:kinsoku/>
        <w:wordWrap/>
        <w:overflowPunct/>
        <w:topLinePunct w:val="0"/>
        <w:autoSpaceDE/>
        <w:autoSpaceDN/>
        <w:bidi w:val="0"/>
        <w:adjustRightInd/>
        <w:snapToGrid/>
        <w:spacing w:line="240" w:lineRule="auto"/>
        <w:ind w:left="273" w:leftChars="130" w:right="0" w:firstLine="0" w:firstLineChars="0"/>
        <w:textAlignment w:val="auto"/>
      </w:pPr>
      <w:r>
        <w:rPr>
          <w:rFonts w:hint="eastAsia" w:ascii="Times New Roman" w:hAnsi="Times New Roman" w:eastAsia="新宋体"/>
          <w:sz w:val="21"/>
          <w:szCs w:val="21"/>
        </w:rPr>
        <w:t>（4）食用栽培稻是经野生稻突变和驯化形成的，野生稻颖壳为黑色，栽培稻颖壳多为黄色。科研小组对多个品种进行分析，发现两株黄色颖壳栽培稻（栽培稻1、2）均由野生稻经单基因隐性突变所得。请设计一次杂交实验探究两者的突变是由同一基因还是不同基因突变所致。</w:t>
      </w:r>
    </w:p>
    <w:p w14:paraId="41A17AB9">
      <w:pPr>
        <w:keepNext w:val="0"/>
        <w:keepLines w:val="0"/>
        <w:pageBreakBefore w:val="0"/>
        <w:widowControl w:val="0"/>
        <w:kinsoku/>
        <w:wordWrap/>
        <w:overflowPunct/>
        <w:topLinePunct w:val="0"/>
        <w:autoSpaceDE/>
        <w:autoSpaceDN/>
        <w:bidi w:val="0"/>
        <w:adjustRightInd/>
        <w:snapToGrid/>
        <w:spacing w:line="240" w:lineRule="auto"/>
        <w:ind w:left="273" w:leftChars="130" w:right="0" w:firstLine="0" w:firstLineChars="0"/>
        <w:textAlignment w:val="auto"/>
      </w:pPr>
      <w:r>
        <w:rPr>
          <w:rFonts w:hint="eastAsia" w:ascii="Times New Roman" w:hAnsi="Times New Roman" w:eastAsia="Calibri"/>
          <w:sz w:val="21"/>
          <w:szCs w:val="21"/>
        </w:rPr>
        <w:t>①</w:t>
      </w:r>
      <w:r>
        <w:rPr>
          <w:rFonts w:hint="eastAsia" w:ascii="Times New Roman" w:hAnsi="Times New Roman" w:eastAsia="新宋体"/>
          <w:sz w:val="21"/>
          <w:szCs w:val="21"/>
        </w:rPr>
        <w:t>实验思路：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DCE13F0">
      <w:pPr>
        <w:keepNext w:val="0"/>
        <w:keepLines w:val="0"/>
        <w:pageBreakBefore w:val="0"/>
        <w:widowControl w:val="0"/>
        <w:kinsoku/>
        <w:wordWrap/>
        <w:overflowPunct/>
        <w:topLinePunct w:val="0"/>
        <w:autoSpaceDE/>
        <w:autoSpaceDN/>
        <w:bidi w:val="0"/>
        <w:adjustRightInd/>
        <w:snapToGrid/>
        <w:spacing w:line="240" w:lineRule="auto"/>
        <w:ind w:left="273" w:leftChars="130" w:right="0" w:firstLine="0" w:firstLineChars="0"/>
        <w:textAlignment w:val="auto"/>
      </w:pPr>
      <w:r>
        <w:rPr>
          <w:rFonts w:hint="eastAsia" w:ascii="Times New Roman" w:hAnsi="Times New Roman" w:eastAsia="Calibri"/>
          <w:sz w:val="21"/>
          <w:szCs w:val="21"/>
        </w:rPr>
        <w:t>②</w:t>
      </w:r>
      <w:r>
        <w:rPr>
          <w:rFonts w:hint="eastAsia" w:ascii="Times New Roman" w:hAnsi="Times New Roman" w:eastAsia="新宋体"/>
          <w:sz w:val="21"/>
          <w:szCs w:val="21"/>
        </w:rPr>
        <w:t>预期结果及相应结论：若后代</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，则两者的突变是由同一基因突变所致；若后代</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，则两者的突变是由不同基因突变所致。</w:t>
      </w:r>
    </w:p>
    <w:p w14:paraId="030220CB">
      <w:pPr>
        <w:keepNext w:val="0"/>
        <w:keepLines w:val="0"/>
        <w:pageBreakBefore w:val="0"/>
        <w:widowControl w:val="0"/>
        <w:kinsoku/>
        <w:wordWrap/>
        <w:overflowPunct/>
        <w:topLinePunct w:val="0"/>
        <w:autoSpaceDE/>
        <w:autoSpaceDN/>
        <w:bidi w:val="0"/>
        <w:adjustRightInd/>
        <w:snapToGrid/>
        <w:spacing w:line="240" w:lineRule="auto"/>
        <w:ind w:left="273" w:leftChars="130" w:right="0" w:firstLine="0" w:firstLineChars="0"/>
        <w:textAlignment w:val="auto"/>
      </w:pPr>
      <w:r>
        <w:rPr>
          <w:rFonts w:hint="eastAsia" w:ascii="Times New Roman" w:hAnsi="Times New Roman" w:eastAsia="Calibri"/>
          <w:sz w:val="21"/>
          <w:szCs w:val="21"/>
        </w:rPr>
        <w:t>③</w:t>
      </w:r>
      <w:r>
        <w:rPr>
          <w:rFonts w:hint="eastAsia" w:ascii="Times New Roman" w:hAnsi="Times New Roman" w:eastAsia="新宋体"/>
          <w:sz w:val="21"/>
          <w:szCs w:val="21"/>
        </w:rPr>
        <w:t>杂交实验表明栽培稻1、2是由R基因突变而来，科研小组采用PCR技术，扩增出野生稻和栽培稻基因的片段，电泳结果见图3。</w:t>
      </w:r>
    </w:p>
    <w:p w14:paraId="5FBED5AE">
      <w:pPr>
        <w:keepNext w:val="0"/>
        <w:keepLines w:val="0"/>
        <w:pageBreakBefore w:val="0"/>
        <w:widowControl w:val="0"/>
        <w:kinsoku/>
        <w:wordWrap/>
        <w:overflowPunct/>
        <w:topLinePunct w:val="0"/>
        <w:autoSpaceDE/>
        <w:autoSpaceDN/>
        <w:bidi w:val="0"/>
        <w:adjustRightInd/>
        <w:snapToGrid/>
        <w:spacing w:line="240" w:lineRule="auto"/>
        <w:ind w:left="273" w:leftChars="130" w:right="0" w:firstLine="0" w:firstLineChars="0"/>
        <w:textAlignment w:val="auto"/>
      </w:pPr>
      <w:r>
        <w:rPr>
          <w:rFonts w:hint="eastAsia" w:ascii="Times New Roman" w:hAnsi="Times New Roman" w:eastAsia="新宋体"/>
          <w:sz w:val="21"/>
          <w:szCs w:val="21"/>
        </w:rPr>
        <w:drawing>
          <wp:inline distT="0" distB="0" distL="0" distR="0">
            <wp:extent cx="5246370" cy="1906270"/>
            <wp:effectExtent l="0" t="0" r="11430" b="2413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8" cstate="print"/>
                    <a:stretch>
                      <a:fillRect/>
                    </a:stretch>
                  </pic:blipFill>
                  <pic:spPr>
                    <a:xfrm>
                      <a:off x="0" y="0"/>
                      <a:ext cx="5246370" cy="1906270"/>
                    </a:xfrm>
                    <a:prstGeom prst="rect">
                      <a:avLst/>
                    </a:prstGeom>
                  </pic:spPr>
                </pic:pic>
              </a:graphicData>
            </a:graphic>
          </wp:inline>
        </w:drawing>
      </w:r>
    </w:p>
    <w:p w14:paraId="5D601685">
      <w:pPr>
        <w:keepNext w:val="0"/>
        <w:keepLines w:val="0"/>
        <w:pageBreakBefore w:val="0"/>
        <w:widowControl w:val="0"/>
        <w:kinsoku/>
        <w:wordWrap/>
        <w:overflowPunct/>
        <w:topLinePunct w:val="0"/>
        <w:autoSpaceDE/>
        <w:autoSpaceDN/>
        <w:bidi w:val="0"/>
        <w:adjustRightInd/>
        <w:snapToGrid/>
        <w:spacing w:line="240" w:lineRule="auto"/>
        <w:ind w:left="273" w:leftChars="130" w:right="0" w:firstLine="0" w:firstLineChars="0"/>
        <w:textAlignment w:val="auto"/>
      </w:pPr>
      <w:r>
        <w:rPr>
          <w:rFonts w:hint="eastAsia" w:ascii="Times New Roman" w:hAnsi="Times New Roman" w:eastAsia="新宋体"/>
          <w:sz w:val="21"/>
          <w:szCs w:val="21"/>
        </w:rPr>
        <w:t>说明：野生型R基因的部分序列为：5′﹣GAATCGCTCACA﹣3′，该链为编码链，编码的肽链为天冬氨酸﹣丝氨酸﹣亮氨酸﹣苏氨酸。UAA、UAG为终止密码子。</w:t>
      </w:r>
    </w:p>
    <w:p w14:paraId="7558005E">
      <w:pPr>
        <w:keepNext w:val="0"/>
        <w:keepLines w:val="0"/>
        <w:pageBreakBefore w:val="0"/>
        <w:widowControl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Times New Roman" w:hAnsi="Times New Roman" w:eastAsia="新宋体"/>
          <w:sz w:val="21"/>
          <w:szCs w:val="21"/>
        </w:rPr>
        <w:sectPr>
          <w:footerReference r:id="rId3" w:type="default"/>
          <w:pgSz w:w="11906" w:h="16838"/>
          <w:pgMar w:top="1440" w:right="1080" w:bottom="1440" w:left="1080" w:header="851" w:footer="992" w:gutter="0"/>
          <w:pgNumType w:chapStyle="5" w:chapSep="colon"/>
          <w:cols w:space="425" w:num="1"/>
          <w:docGrid w:type="lines" w:linePitch="312" w:charSpace="0"/>
        </w:sectPr>
      </w:pPr>
      <w:r>
        <w:rPr>
          <w:rFonts w:hint="eastAsia" w:ascii="Times New Roman" w:hAnsi="Times New Roman" w:eastAsia="新宋体"/>
          <w:sz w:val="21"/>
          <w:szCs w:val="21"/>
        </w:rPr>
        <w:t>栽培稻1是由于R基因中的碱基发生了</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颖壳表现为黄色。栽培稻2和野生稻的PCR扩增产物大小一致，科研小组进行了DNA测序，结果见图4（图中仅显示两者含有差异的部分序列，其余序列一致）。比较两者DNA碱基序列，发现栽培稻2是由于R基因中的碱基发生</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，导致</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，使肽链变短，颖壳表现为黄色。</w:t>
      </w:r>
    </w:p>
    <w:p w14:paraId="559DAF51">
      <w:pPr>
        <w:shd w:val="clear" w:color="auto" w:fill="auto"/>
        <w:spacing w:line="240" w:lineRule="auto"/>
        <w:ind w:firstLine="1922" w:firstLineChars="800"/>
        <w:jc w:val="left"/>
        <w:textAlignment w:val="center"/>
        <w:rPr>
          <w:rFonts w:hint="default"/>
          <w:b/>
          <w:bCs/>
          <w:sz w:val="24"/>
          <w:szCs w:val="28"/>
          <w:lang w:val="en-US" w:eastAsia="zh-CN"/>
        </w:rPr>
      </w:pPr>
      <w:r>
        <w:rPr>
          <w:rFonts w:hint="eastAsia"/>
          <w:b/>
          <w:bCs/>
          <w:sz w:val="24"/>
          <w:szCs w:val="28"/>
          <w:lang w:val="en-US" w:eastAsia="zh-CN"/>
        </w:rPr>
        <w:t>生物学科第17次周末作业答案</w:t>
      </w:r>
    </w:p>
    <w:p w14:paraId="068B92F3">
      <w:pPr>
        <w:rPr>
          <w:rFonts w:hint="eastAsia"/>
          <w:vertAlign w:val="baseline"/>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185DB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tcPr>
          <w:p w14:paraId="3ED2D66B">
            <w:pPr>
              <w:rPr>
                <w:rFonts w:hint="eastAsia" w:eastAsiaTheme="minorEastAsia"/>
                <w:vertAlign w:val="baseline"/>
                <w:lang w:val="en-US" w:eastAsia="zh-CN"/>
              </w:rPr>
            </w:pPr>
            <w:r>
              <w:rPr>
                <w:rFonts w:hint="eastAsia"/>
                <w:vertAlign w:val="baseline"/>
                <w:lang w:val="en-US" w:eastAsia="zh-CN"/>
              </w:rPr>
              <w:t>题号</w:t>
            </w:r>
          </w:p>
        </w:tc>
        <w:tc>
          <w:tcPr>
            <w:tcW w:w="1704" w:type="dxa"/>
          </w:tcPr>
          <w:p w14:paraId="6CEF17E3">
            <w:pPr>
              <w:rPr>
                <w:rFonts w:hint="eastAsia" w:eastAsiaTheme="minorEastAsia"/>
                <w:vertAlign w:val="baseline"/>
                <w:lang w:val="en-US" w:eastAsia="zh-CN"/>
              </w:rPr>
            </w:pPr>
            <w:r>
              <w:rPr>
                <w:rFonts w:hint="eastAsia"/>
                <w:vertAlign w:val="baseline"/>
                <w:lang w:val="en-US" w:eastAsia="zh-CN"/>
              </w:rPr>
              <w:t>1</w:t>
            </w:r>
          </w:p>
        </w:tc>
        <w:tc>
          <w:tcPr>
            <w:tcW w:w="1704" w:type="dxa"/>
          </w:tcPr>
          <w:p w14:paraId="0911CD3F">
            <w:pPr>
              <w:rPr>
                <w:rFonts w:hint="default"/>
                <w:vertAlign w:val="baseline"/>
                <w:lang w:val="en-US"/>
              </w:rPr>
            </w:pPr>
            <w:r>
              <w:rPr>
                <w:rFonts w:hint="default"/>
                <w:vertAlign w:val="baseline"/>
                <w:lang w:val="en-US"/>
              </w:rPr>
              <w:t>2</w:t>
            </w:r>
          </w:p>
        </w:tc>
        <w:tc>
          <w:tcPr>
            <w:tcW w:w="1705" w:type="dxa"/>
          </w:tcPr>
          <w:p w14:paraId="31CFAA97">
            <w:pPr>
              <w:rPr>
                <w:rFonts w:hint="default"/>
                <w:vertAlign w:val="baseline"/>
                <w:lang w:val="en-US"/>
              </w:rPr>
            </w:pPr>
            <w:r>
              <w:rPr>
                <w:rFonts w:hint="default"/>
                <w:vertAlign w:val="baseline"/>
                <w:lang w:val="en-US"/>
              </w:rPr>
              <w:t>3</w:t>
            </w:r>
          </w:p>
        </w:tc>
        <w:tc>
          <w:tcPr>
            <w:tcW w:w="1705" w:type="dxa"/>
          </w:tcPr>
          <w:p w14:paraId="7DD6420B">
            <w:pPr>
              <w:rPr>
                <w:rFonts w:hint="default"/>
                <w:vertAlign w:val="baseline"/>
                <w:lang w:val="en-US"/>
              </w:rPr>
            </w:pPr>
            <w:r>
              <w:rPr>
                <w:rFonts w:hint="default"/>
                <w:vertAlign w:val="baseline"/>
                <w:lang w:val="en-US"/>
              </w:rPr>
              <w:t>4</w:t>
            </w:r>
          </w:p>
        </w:tc>
      </w:tr>
      <w:tr w14:paraId="50EE5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tcPr>
          <w:p w14:paraId="4031508C">
            <w:pPr>
              <w:rPr>
                <w:rFonts w:hint="eastAsia" w:eastAsiaTheme="minorEastAsia"/>
                <w:vertAlign w:val="baseline"/>
                <w:lang w:val="en-US" w:eastAsia="zh-CN"/>
              </w:rPr>
            </w:pPr>
            <w:r>
              <w:rPr>
                <w:rFonts w:hint="eastAsia"/>
                <w:vertAlign w:val="baseline"/>
                <w:lang w:val="en-US" w:eastAsia="zh-CN"/>
              </w:rPr>
              <w:t>答案</w:t>
            </w:r>
          </w:p>
        </w:tc>
        <w:tc>
          <w:tcPr>
            <w:tcW w:w="1704" w:type="dxa"/>
          </w:tcPr>
          <w:p w14:paraId="11788B1E">
            <w:pPr>
              <w:rPr>
                <w:rFonts w:hint="default"/>
                <w:vertAlign w:val="baseline"/>
                <w:lang w:val="en-US"/>
              </w:rPr>
            </w:pPr>
            <w:r>
              <w:rPr>
                <w:rFonts w:hint="default"/>
                <w:vertAlign w:val="baseline"/>
                <w:lang w:val="en-US"/>
              </w:rPr>
              <w:t>C</w:t>
            </w:r>
          </w:p>
        </w:tc>
        <w:tc>
          <w:tcPr>
            <w:tcW w:w="1704" w:type="dxa"/>
          </w:tcPr>
          <w:p w14:paraId="1CAF5CB9">
            <w:pPr>
              <w:rPr>
                <w:rFonts w:hint="default"/>
                <w:vertAlign w:val="baseline"/>
                <w:lang w:val="en-US"/>
              </w:rPr>
            </w:pPr>
            <w:r>
              <w:rPr>
                <w:rFonts w:hint="default"/>
                <w:vertAlign w:val="baseline"/>
                <w:lang w:val="en-US"/>
              </w:rPr>
              <w:t>B</w:t>
            </w:r>
          </w:p>
        </w:tc>
        <w:tc>
          <w:tcPr>
            <w:tcW w:w="1705" w:type="dxa"/>
          </w:tcPr>
          <w:p w14:paraId="2D240672">
            <w:pPr>
              <w:rPr>
                <w:rFonts w:hint="default"/>
                <w:vertAlign w:val="baseline"/>
                <w:lang w:val="en-US"/>
              </w:rPr>
            </w:pPr>
            <w:r>
              <w:rPr>
                <w:rFonts w:hint="default"/>
                <w:vertAlign w:val="baseline"/>
                <w:lang w:val="en-US"/>
              </w:rPr>
              <w:t>C</w:t>
            </w:r>
          </w:p>
        </w:tc>
        <w:tc>
          <w:tcPr>
            <w:tcW w:w="1705" w:type="dxa"/>
          </w:tcPr>
          <w:p w14:paraId="5C37DAA4">
            <w:pPr>
              <w:rPr>
                <w:rFonts w:hint="default"/>
                <w:vertAlign w:val="baseline"/>
                <w:lang w:val="en-US"/>
              </w:rPr>
            </w:pPr>
            <w:r>
              <w:rPr>
                <w:rFonts w:hint="default"/>
                <w:vertAlign w:val="baseline"/>
                <w:lang w:val="en-US"/>
              </w:rPr>
              <w:t>D</w:t>
            </w:r>
          </w:p>
        </w:tc>
      </w:tr>
    </w:tbl>
    <w:p w14:paraId="2F66ABDA">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5．（1）差速离心     低渗或蒸馏水     密度梯度离心     消耗淀粉，防止离心时淀粉粒对类囊体造成损伤</w:t>
      </w:r>
    </w:p>
    <w:p w14:paraId="1720A437">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（2）产电子（氧气）能力、产质子（H</w:t>
      </w:r>
      <w:r>
        <w:rPr>
          <w:rFonts w:hint="eastAsia" w:ascii="Times New Roman" w:hAnsi="Times New Roman" w:eastAsia="新宋体"/>
          <w:sz w:val="24"/>
          <w:szCs w:val="24"/>
          <w:vertAlign w:val="superscript"/>
        </w:rPr>
        <w:t>+</w:t>
      </w:r>
      <w:r>
        <w:rPr>
          <w:rFonts w:hint="eastAsia" w:ascii="Times New Roman" w:hAnsi="Times New Roman" w:eastAsia="新宋体"/>
          <w:sz w:val="21"/>
          <w:szCs w:val="21"/>
        </w:rPr>
        <w:t>）能力，产ATP能力</w:t>
      </w:r>
    </w:p>
    <w:p w14:paraId="67E9F305">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（3）水     电化学势能（H</w:t>
      </w:r>
      <w:r>
        <w:rPr>
          <w:rFonts w:hint="eastAsia" w:ascii="Times New Roman" w:hAnsi="Times New Roman" w:eastAsia="新宋体"/>
          <w:sz w:val="24"/>
          <w:szCs w:val="24"/>
          <w:vertAlign w:val="superscript"/>
        </w:rPr>
        <w:t>+</w:t>
      </w:r>
      <w:r>
        <w:rPr>
          <w:rFonts w:hint="eastAsia" w:ascii="Times New Roman" w:hAnsi="Times New Roman" w:eastAsia="新宋体"/>
          <w:sz w:val="21"/>
          <w:szCs w:val="21"/>
        </w:rPr>
        <w:t>化学势能）</w:t>
      </w:r>
    </w:p>
    <w:p w14:paraId="5385AAFC">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（4）ATP     C</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、C</w:t>
      </w:r>
      <w:r>
        <w:rPr>
          <w:rFonts w:hint="eastAsia" w:ascii="Times New Roman" w:hAnsi="Times New Roman" w:eastAsia="新宋体"/>
          <w:sz w:val="24"/>
          <w:szCs w:val="24"/>
          <w:vertAlign w:val="subscript"/>
        </w:rPr>
        <w:t>4</w:t>
      </w:r>
    </w:p>
    <w:p w14:paraId="5D7FA724">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（5）</w:t>
      </w:r>
      <w:r>
        <w:rPr>
          <w:rFonts w:hint="eastAsia" w:ascii="Times New Roman" w:hAnsi="Times New Roman" w:eastAsia="Calibri"/>
          <w:sz w:val="21"/>
          <w:szCs w:val="21"/>
        </w:rPr>
        <w:t>②③④</w:t>
      </w:r>
    </w:p>
    <w:p w14:paraId="12B3CDCC">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p>
    <w:p w14:paraId="4E7A2A05">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default" w:ascii="Times New Roman" w:hAnsi="Times New Roman" w:eastAsia="新宋体"/>
          <w:sz w:val="21"/>
          <w:szCs w:val="21"/>
          <w:lang w:val="en-US"/>
        </w:rPr>
        <w:t>6.</w:t>
      </w:r>
      <w:r>
        <w:rPr>
          <w:rFonts w:hint="eastAsia" w:ascii="Times New Roman" w:hAnsi="Times New Roman" w:eastAsia="新宋体"/>
          <w:sz w:val="21"/>
          <w:szCs w:val="21"/>
        </w:rPr>
        <w:t>（1）9     aaBBDD</w:t>
      </w:r>
    </w:p>
    <w:p w14:paraId="772D5EF4">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（2）</w:t>
      </w:r>
      <m:oMath>
        <m:f>
          <m:fPr>
            <m:ctrlPr>
              <w:rPr>
                <w:rFonts w:ascii="Cambria Math" w:hAnsi="Cambria Math" w:eastAsia="新宋体"/>
                <w:sz w:val="28"/>
                <w:szCs w:val="28"/>
              </w:rPr>
            </m:ctrlPr>
          </m:fPr>
          <m:num>
            <m:r>
              <m:rPr/>
              <w:rPr>
                <w:rFonts w:ascii="Cambria Math" w:hAnsi="Cambria Math" w:eastAsia="新宋体"/>
                <w:sz w:val="28"/>
                <w:szCs w:val="28"/>
              </w:rPr>
              <m:t>8</m:t>
            </m:r>
            <m:ctrlPr>
              <w:rPr>
                <w:rFonts w:ascii="Cambria Math" w:hAnsi="Cambria Math" w:eastAsia="新宋体"/>
                <w:sz w:val="28"/>
                <w:szCs w:val="28"/>
              </w:rPr>
            </m:ctrlPr>
          </m:num>
          <m:den>
            <m:r>
              <m:rPr/>
              <w:rPr>
                <w:rFonts w:ascii="Cambria Math" w:hAnsi="Cambria Math" w:eastAsia="新宋体"/>
                <w:sz w:val="28"/>
                <w:szCs w:val="28"/>
              </w:rPr>
              <m:t>9</m:t>
            </m:r>
            <m:ctrlPr>
              <w:rPr>
                <w:rFonts w:ascii="Cambria Math" w:hAnsi="Cambria Math" w:eastAsia="新宋体"/>
                <w:sz w:val="28"/>
                <w:szCs w:val="28"/>
              </w:rPr>
            </m:ctrlPr>
          </m:den>
        </m:f>
      </m:oMath>
      <w:r>
        <w:rPr>
          <w:rFonts w:hint="eastAsia" w:ascii="Times New Roman" w:hAnsi="Times New Roman" w:eastAsia="新宋体"/>
          <w:sz w:val="21"/>
          <w:szCs w:val="21"/>
        </w:rPr>
        <w:t xml:space="preserve">    </w:t>
      </w:r>
      <m:oMath>
        <m:f>
          <m:fPr>
            <m:ctrlPr>
              <w:rPr>
                <w:rFonts w:ascii="Cambria Math" w:hAnsi="Cambria Math" w:eastAsia="新宋体"/>
                <w:sz w:val="28"/>
                <w:szCs w:val="28"/>
              </w:rPr>
            </m:ctrlPr>
          </m:fPr>
          <m:num>
            <m:r>
              <m:rPr/>
              <w:rPr>
                <w:rFonts w:ascii="Cambria Math" w:hAnsi="Cambria Math" w:eastAsia="新宋体"/>
                <w:sz w:val="28"/>
                <w:szCs w:val="28"/>
              </w:rPr>
              <m:t>3</m:t>
            </m:r>
            <m:ctrlPr>
              <w:rPr>
                <w:rFonts w:ascii="Cambria Math" w:hAnsi="Cambria Math" w:eastAsia="新宋体"/>
                <w:sz w:val="28"/>
                <w:szCs w:val="28"/>
              </w:rPr>
            </m:ctrlPr>
          </m:num>
          <m:den>
            <m:r>
              <m:rPr/>
              <w:rPr>
                <w:rFonts w:ascii="Cambria Math" w:hAnsi="Cambria Math" w:eastAsia="新宋体"/>
                <w:sz w:val="28"/>
                <w:szCs w:val="28"/>
              </w:rPr>
              <m:t>8</m:t>
            </m:r>
            <m:ctrlPr>
              <w:rPr>
                <w:rFonts w:ascii="Cambria Math" w:hAnsi="Cambria Math" w:eastAsia="新宋体"/>
                <w:sz w:val="28"/>
                <w:szCs w:val="28"/>
              </w:rPr>
            </m:ctrlPr>
          </m:den>
        </m:f>
      </m:oMath>
    </w:p>
    <w:p w14:paraId="748F7F31">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 xml:space="preserve">（3）27：9：12：16     </w:t>
      </w:r>
      <m:oMath>
        <m:f>
          <m:fPr>
            <m:ctrlPr>
              <w:rPr>
                <w:rFonts w:ascii="Cambria Math" w:hAnsi="Cambria Math" w:eastAsia="新宋体"/>
                <w:sz w:val="28"/>
                <w:szCs w:val="28"/>
              </w:rPr>
            </m:ctrlPr>
          </m:fPr>
          <m:num>
            <m:r>
              <m:rPr/>
              <w:rPr>
                <w:rFonts w:ascii="Cambria Math" w:hAnsi="Cambria Math" w:eastAsia="新宋体"/>
                <w:sz w:val="28"/>
                <w:szCs w:val="28"/>
              </w:rPr>
              <m:t>8</m:t>
            </m:r>
            <m:ctrlPr>
              <w:rPr>
                <w:rFonts w:ascii="Cambria Math" w:hAnsi="Cambria Math" w:eastAsia="新宋体"/>
                <w:sz w:val="28"/>
                <w:szCs w:val="28"/>
              </w:rPr>
            </m:ctrlPr>
          </m:num>
          <m:den>
            <m:r>
              <m:rPr/>
              <w:rPr>
                <w:rFonts w:ascii="Cambria Math" w:hAnsi="Cambria Math" w:eastAsia="新宋体"/>
                <w:sz w:val="28"/>
                <w:szCs w:val="28"/>
              </w:rPr>
              <m:t>27</m:t>
            </m:r>
            <m:ctrlPr>
              <w:rPr>
                <w:rFonts w:ascii="Cambria Math" w:hAnsi="Cambria Math" w:eastAsia="新宋体"/>
                <w:sz w:val="28"/>
                <w:szCs w:val="28"/>
              </w:rPr>
            </m:ctrlPr>
          </m:den>
        </m:f>
      </m:oMath>
    </w:p>
    <w:p w14:paraId="45212450">
      <w:pPr>
        <w:keepNext w:val="0"/>
        <w:keepLines w:val="0"/>
        <w:pageBreakBefore w:val="0"/>
        <w:kinsoku/>
        <w:wordWrap/>
        <w:overflowPunct/>
        <w:topLinePunct w:val="0"/>
        <w:autoSpaceDE/>
        <w:autoSpaceDN/>
        <w:bidi w:val="0"/>
        <w:adjustRightInd/>
        <w:snapToGrid/>
        <w:spacing w:line="288" w:lineRule="auto"/>
        <w:ind w:left="273" w:leftChars="130" w:right="0" w:firstLine="0" w:firstLineChars="0"/>
        <w:textAlignment w:val="auto"/>
      </w:pPr>
      <w:r>
        <w:rPr>
          <w:rFonts w:hint="eastAsia" w:ascii="Times New Roman" w:hAnsi="Times New Roman" w:eastAsia="新宋体"/>
          <w:sz w:val="21"/>
          <w:szCs w:val="21"/>
        </w:rPr>
        <w:t>（4）将栽培稻1和栽培稻2杂交，观察后代的颖壳颜色     颖壳颜色为黄色     颖壳颜色为黑色     缺失     替换（C﹣G替换为A﹣T）     相应的mRNA上的密码子UCG变为UAG，终止密码提前出现</w:t>
      </w:r>
    </w:p>
    <w:p w14:paraId="2A44D433">
      <w:pPr>
        <w:keepNext w:val="0"/>
        <w:keepLines w:val="0"/>
        <w:pageBreakBefore w:val="0"/>
        <w:widowControl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Times New Roman" w:hAnsi="Times New Roman" w:eastAsia="新宋体"/>
          <w:sz w:val="21"/>
          <w:szCs w:val="21"/>
        </w:rPr>
      </w:pPr>
      <w:bookmarkStart w:id="0" w:name="_GoBack"/>
      <w:bookmarkEnd w:id="0"/>
    </w:p>
    <w:sectPr>
      <w:pgSz w:w="11906" w:h="16838"/>
      <w:pgMar w:top="1440" w:right="1080" w:bottom="1440" w:left="1080" w:header="851" w:footer="992" w:gutter="0"/>
      <w:pgNumType w:chapStyle="5" w:chapSep="colon"/>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新宋体">
    <w:altName w:val="书宋-简"/>
    <w:panose1 w:val="00000000000000000000"/>
    <w:charset w:val="00"/>
    <w:family w:val="auto"/>
    <w:pitch w:val="default"/>
    <w:sig w:usb0="00000000" w:usb1="00000000" w:usb2="00000000" w:usb3="00000000" w:csb0="00000000" w:csb1="00000000"/>
  </w:font>
  <w:font w:name="书宋-简">
    <w:panose1 w:val="02010600030101010101"/>
    <w:charset w:val="86"/>
    <w:family w:val="auto"/>
    <w:pitch w:val="default"/>
    <w:sig w:usb0="A00002BF" w:usb1="3ACF7CFA" w:usb2="00000016"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C739B">
    <w:pPr>
      <w:pStyle w:val="4"/>
      <w:jc w:val="center"/>
    </w:pPr>
    <w:r>
      <w:rPr>
        <w:rFonts w:hint="eastAsia"/>
      </w:rPr>
      <w:t>第</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rFonts w:hint="eastAsia"/>
        <w:lang w:val="zh-CN"/>
      </w:rPr>
      <w:t>页（共</w:t>
    </w:r>
    <w:r>
      <w:rPr>
        <w:b/>
        <w:bCs/>
        <w:sz w:val="24"/>
        <w:szCs w:val="24"/>
      </w:rPr>
      <w:fldChar w:fldCharType="begin"/>
    </w:r>
    <w:r>
      <w:rPr>
        <w:b/>
        <w:bCs/>
      </w:rPr>
      <w:instrText xml:space="preserve">NUMPAGES</w:instrText>
    </w:r>
    <w:r>
      <w:rPr>
        <w:b/>
        <w:bCs/>
        <w:sz w:val="24"/>
        <w:szCs w:val="24"/>
      </w:rPr>
      <w:fldChar w:fldCharType="separate"/>
    </w:r>
    <w:r>
      <w:rPr>
        <w:b/>
        <w:bCs/>
      </w:rPr>
      <w:t>1</w:t>
    </w:r>
    <w:r>
      <w:rPr>
        <w:b/>
        <w:bCs/>
        <w:sz w:val="24"/>
        <w:szCs w:val="24"/>
      </w:rP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AC09DF"/>
    <w:rsid w:val="0024353C"/>
    <w:rsid w:val="004E5AE9"/>
    <w:rsid w:val="005A281C"/>
    <w:rsid w:val="009A52EA"/>
    <w:rsid w:val="00AC09DF"/>
    <w:rsid w:val="00C52DED"/>
    <w:rsid w:val="00CB4B8A"/>
    <w:rsid w:val="0F125E88"/>
    <w:rsid w:val="0F2F81E4"/>
    <w:rsid w:val="0F3BC98E"/>
    <w:rsid w:val="0F47BD91"/>
    <w:rsid w:val="0F525344"/>
    <w:rsid w:val="0F6B6A73"/>
    <w:rsid w:val="0F74324C"/>
    <w:rsid w:val="0F8C8CBB"/>
    <w:rsid w:val="0F8D11BE"/>
    <w:rsid w:val="0F8D3C9F"/>
    <w:rsid w:val="0F8D6703"/>
    <w:rsid w:val="0F8D793F"/>
    <w:rsid w:val="0F8DA5B4"/>
    <w:rsid w:val="76DB35F8"/>
    <w:rsid w:val="C7DBC2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7"/>
    <w:semiHidden/>
    <w:unhideWhenUsed/>
    <w:qFormat/>
    <w:uiPriority w:val="99"/>
    <w:pPr>
      <w:ind w:left="100" w:leftChars="2500"/>
    </w:pPr>
  </w:style>
  <w:style w:type="paragraph" w:styleId="3">
    <w:name w:val="Balloon Text"/>
    <w:basedOn w:val="1"/>
    <w:link w:val="12"/>
    <w:semiHidden/>
    <w:unhideWhenUsed/>
    <w:qFormat/>
    <w:uiPriority w:val="99"/>
    <w:rPr>
      <w:sz w:val="18"/>
      <w:szCs w:val="18"/>
    </w:rPr>
  </w:style>
  <w:style w:type="paragraph" w:styleId="4">
    <w:name w:val="footer"/>
    <w:basedOn w:val="1"/>
    <w:link w:val="11"/>
    <w:semiHidden/>
    <w:unhideWhenUsed/>
    <w:qFormat/>
    <w:uiPriority w:val="99"/>
    <w:pPr>
      <w:tabs>
        <w:tab w:val="center" w:pos="4153"/>
        <w:tab w:val="right" w:pos="8306"/>
      </w:tabs>
      <w:snapToGrid w:val="0"/>
      <w:jc w:val="left"/>
    </w:pPr>
    <w:rPr>
      <w:sz w:val="18"/>
      <w:szCs w:val="18"/>
    </w:rPr>
  </w:style>
  <w:style w:type="paragraph" w:styleId="5">
    <w:name w:val="header"/>
    <w:basedOn w:val="1"/>
    <w:link w:val="10"/>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99"/>
    <w:tblPr>
      <w:tblCellMar>
        <w:top w:w="0" w:type="dxa"/>
        <w:left w:w="0" w:type="dxa"/>
        <w:bottom w:w="0" w:type="dxa"/>
        <w:right w:w="0" w:type="dxa"/>
      </w:tblCellMar>
    </w:tblPr>
  </w:style>
  <w:style w:type="character" w:styleId="9">
    <w:name w:val="Hyperlink"/>
    <w:basedOn w:val="8"/>
    <w:unhideWhenUsed/>
    <w:qFormat/>
    <w:uiPriority w:val="99"/>
    <w:rPr>
      <w:color w:val="0000FF" w:themeColor="hyperlink"/>
      <w:u w:val="single"/>
    </w:rPr>
  </w:style>
  <w:style w:type="character" w:customStyle="1" w:styleId="10">
    <w:name w:val="页眉 Char"/>
    <w:basedOn w:val="8"/>
    <w:link w:val="5"/>
    <w:semiHidden/>
    <w:qFormat/>
    <w:uiPriority w:val="99"/>
    <w:rPr>
      <w:sz w:val="18"/>
      <w:szCs w:val="18"/>
    </w:rPr>
  </w:style>
  <w:style w:type="character" w:customStyle="1" w:styleId="11">
    <w:name w:val="页脚 Char"/>
    <w:basedOn w:val="8"/>
    <w:link w:val="4"/>
    <w:semiHidden/>
    <w:qFormat/>
    <w:uiPriority w:val="99"/>
    <w:rPr>
      <w:sz w:val="18"/>
      <w:szCs w:val="18"/>
    </w:rPr>
  </w:style>
  <w:style w:type="character" w:customStyle="1" w:styleId="12">
    <w:name w:val="批注框文本 Char"/>
    <w:basedOn w:val="8"/>
    <w:link w:val="3"/>
    <w:semiHidden/>
    <w:qFormat/>
    <w:uiPriority w:val="99"/>
    <w:rPr>
      <w:sz w:val="18"/>
      <w:szCs w:val="18"/>
    </w:rPr>
  </w:style>
  <w:style w:type="paragraph" w:customStyle="1" w:styleId="13">
    <w:name w:val="Border Color 02F09AF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14">
    <w:name w:val="No Spacing"/>
    <w:link w:val="15"/>
    <w:qFormat/>
    <w:uiPriority w:val="1"/>
    <w:rPr>
      <w:rFonts w:asciiTheme="minorHAnsi" w:hAnsiTheme="minorHAnsi" w:eastAsiaTheme="minorEastAsia" w:cstheme="minorBidi"/>
      <w:kern w:val="0"/>
      <w:sz w:val="22"/>
      <w:szCs w:val="22"/>
      <w:lang w:val="en-US" w:eastAsia="zh-CN" w:bidi="ar-SA"/>
    </w:rPr>
  </w:style>
  <w:style w:type="character" w:customStyle="1" w:styleId="15">
    <w:name w:val="无间隔 Char"/>
    <w:basedOn w:val="8"/>
    <w:link w:val="14"/>
    <w:qFormat/>
    <w:uiPriority w:val="1"/>
    <w:rPr>
      <w:kern w:val="0"/>
      <w:sz w:val="22"/>
    </w:rPr>
  </w:style>
  <w:style w:type="character" w:styleId="16">
    <w:name w:val="Placeholder Text"/>
    <w:basedOn w:val="8"/>
    <w:semiHidden/>
    <w:qFormat/>
    <w:uiPriority w:val="99"/>
    <w:rPr>
      <w:color w:val="808080"/>
    </w:rPr>
  </w:style>
  <w:style w:type="character" w:customStyle="1" w:styleId="17">
    <w:name w:val="日期 Char"/>
    <w:basedOn w:val="8"/>
    <w:link w:val="2"/>
    <w:semiHidden/>
    <w:qFormat/>
    <w:uiPriority w:val="99"/>
  </w:style>
  <w:style w:type="paragraph" w:customStyle="1" w:styleId="18">
    <w:name w:val="_Style 17"/>
    <w:qFormat/>
    <w:uiPriority w:val="0"/>
    <w:rPr>
      <w:rFonts w:ascii="Times New Roman"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1D9A5C5E-11EC-4669-BA8C-E52526918B05}">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1</Characters>
  <Lines>1</Lines>
  <Paragraphs>1</Paragraphs>
  <TotalTime>0</TotalTime>
  <ScaleCrop>false</ScaleCrop>
  <LinksUpToDate>false</LinksUpToDate>
  <CharactersWithSpaces>1</CharactersWithSpaces>
  <HyperlinkBase>file:///C:/Users/Documents/2f09afc</HyperlinkBase>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2026-06-25T09:01:00Z</dcterms:created>
  <dc:creator>©2010-2026 jyeoo.com</dc:creator>
  <cp:keywords>jyeoo,菁优网</cp:keywords>
  <cp:lastModifiedBy>Heimdall</cp:lastModifiedBy>
  <cp:lastPrinted>2026-06-25T09:01:00Z</cp:lastPrinted>
  <dcterms:modified xsi:type="dcterms:W3CDTF">2026-06-24T19:23:46Z</dcterms:modified>
  <dc:title>2026年06月24日孙莉的高中生物组卷</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21A7934D116BD9CA6ABC3B6AFA6D18D2_42</vt:lpwstr>
  </property>
</Properties>
</file>