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ff00ff"/>
          <w:sz w:val="60"/>
          <w:szCs w:val="60"/>
        </w:rPr>
      </w:pPr>
      <w:r w:rsidDel="00000000" w:rsidR="00000000" w:rsidRPr="00000000">
        <w:rPr>
          <w:color w:val="ff00ff"/>
          <w:sz w:val="60"/>
          <w:szCs w:val="60"/>
          <w:rtl w:val="0"/>
        </w:rPr>
        <w:t xml:space="preserve">         </w:t>
      </w:r>
      <w:r w:rsidDel="00000000" w:rsidR="00000000" w:rsidRPr="00000000">
        <w:rPr>
          <w:color w:val="ff00ff"/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i w:val="1"/>
          <w:color w:val="ff00ff"/>
          <w:sz w:val="60"/>
          <w:szCs w:val="60"/>
          <w:rtl w:val="0"/>
        </w:rPr>
        <w:t xml:space="preserve"> Design hackathon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Health and Well-being:-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340.79999999999995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Physical health is a state of bodily well-being. You are free from illness, injury, or </w:t>
      </w:r>
      <w:hyperlink r:id="rId6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invisible illness</w:t>
        </w:r>
      </w:hyperlink>
      <w:r w:rsidDel="00000000" w:rsidR="00000000" w:rsidRPr="00000000">
        <w:rPr>
          <w:sz w:val="30"/>
          <w:szCs w:val="30"/>
          <w:rtl w:val="0"/>
        </w:rPr>
        <w:t xml:space="preserve"> like pain. You enjoy optimal functioning, strength, endurance, and general vitality.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340.79999999999995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Mental health is your emotional, psychological, and social well-being. It affects your thoughts, feelings, and behaviors. It can impact your ability to </w:t>
      </w:r>
      <w:hyperlink r:id="rId7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make enough money</w:t>
        </w:r>
      </w:hyperlink>
      <w:r w:rsidDel="00000000" w:rsidR="00000000" w:rsidRPr="00000000">
        <w:rPr>
          <w:sz w:val="30"/>
          <w:szCs w:val="30"/>
          <w:rtl w:val="0"/>
        </w:rPr>
        <w:t xml:space="preserve"> to live comfortably, forge friendships, and reach goals. </w:t>
      </w:r>
      <w:hyperlink r:id="rId8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Mental health awareness</w:t>
        </w:r>
      </w:hyperlink>
      <w:r w:rsidDel="00000000" w:rsidR="00000000" w:rsidRPr="00000000">
        <w:rPr>
          <w:sz w:val="30"/>
          <w:szCs w:val="30"/>
          <w:rtl w:val="0"/>
        </w:rPr>
        <w:t xml:space="preserve"> is vital for personal functioning, social experience, and coping with </w:t>
      </w:r>
      <w:hyperlink r:id="rId9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chronic stress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340.79999999999995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Mental health is your emotional, psychological, and social well-being. It affects your thoughts, feelings, and behaviors. It can impact your ability to </w:t>
      </w:r>
      <w:hyperlink r:id="rId10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make enough money</w:t>
        </w:r>
      </w:hyperlink>
      <w:r w:rsidDel="00000000" w:rsidR="00000000" w:rsidRPr="00000000">
        <w:rPr>
          <w:sz w:val="30"/>
          <w:szCs w:val="30"/>
          <w:rtl w:val="0"/>
        </w:rPr>
        <w:t xml:space="preserve"> to live comfortably, forge friendships, and reach goals. </w:t>
      </w:r>
      <w:hyperlink r:id="rId11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Mental health awareness</w:t>
        </w:r>
      </w:hyperlink>
      <w:r w:rsidDel="00000000" w:rsidR="00000000" w:rsidRPr="00000000">
        <w:rPr>
          <w:sz w:val="30"/>
          <w:szCs w:val="30"/>
          <w:rtl w:val="0"/>
        </w:rPr>
        <w:t xml:space="preserve"> is vital for personal functioning, social experience, and coping with </w:t>
      </w:r>
      <w:hyperlink r:id="rId12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chronic stress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340.79999999999995" w:lineRule="auto"/>
        <w:ind w:left="720" w:hanging="360"/>
        <w:rPr>
          <w:sz w:val="30"/>
          <w:szCs w:val="30"/>
        </w:rPr>
      </w:pPr>
      <w:hyperlink r:id="rId13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Environmental health</w:t>
        </w:r>
      </w:hyperlink>
      <w:r w:rsidDel="00000000" w:rsidR="00000000" w:rsidRPr="00000000">
        <w:rPr>
          <w:sz w:val="30"/>
          <w:szCs w:val="30"/>
          <w:rtl w:val="0"/>
        </w:rPr>
        <w:t xml:space="preserve"> focuses on the conditions and factors around you. Environmental factors include air and water quality, safe housing, and radiation protection.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340.79999999999995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Occupational health focuses on preventing workplace illnesses and injuries. It requires safe work environments, freedom from hazards, and a sense of security and </w:t>
      </w:r>
      <w:hyperlink r:id="rId14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psychological safety</w:t>
        </w:r>
      </w:hyperlink>
      <w:r w:rsidDel="00000000" w:rsidR="00000000" w:rsidRPr="00000000">
        <w:rPr>
          <w:sz w:val="30"/>
          <w:szCs w:val="30"/>
          <w:rtl w:val="0"/>
        </w:rPr>
        <w:t xml:space="preserve">. Beyond individual occupational health, poor mental health support often affects teams (although </w:t>
      </w:r>
      <w:hyperlink r:id="rId15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poor well-being isn’t contagious</w:t>
        </w:r>
      </w:hyperlink>
      <w:r w:rsidDel="00000000" w:rsidR="00000000" w:rsidRPr="00000000">
        <w:rPr>
          <w:sz w:val="30"/>
          <w:szCs w:val="30"/>
          <w:rtl w:val="0"/>
        </w:rPr>
        <w:t xml:space="preserve">.)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4800" w:line="340.79999999999995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Spiritual health means possessing a sense of meaning, </w:t>
      </w:r>
      <w:hyperlink r:id="rId16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purpose</w:t>
        </w:r>
      </w:hyperlink>
      <w:r w:rsidDel="00000000" w:rsidR="00000000" w:rsidRPr="00000000">
        <w:rPr>
          <w:sz w:val="30"/>
          <w:szCs w:val="30"/>
          <w:rtl w:val="0"/>
        </w:rPr>
        <w:t xml:space="preserve">, and connection. It may present as </w:t>
      </w:r>
      <w:hyperlink r:id="rId17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inner peace</w:t>
        </w:r>
      </w:hyperlink>
      <w:r w:rsidDel="00000000" w:rsidR="00000000" w:rsidRPr="00000000">
        <w:rPr>
          <w:sz w:val="30"/>
          <w:szCs w:val="30"/>
          <w:rtl w:val="0"/>
        </w:rPr>
        <w:t xml:space="preserve">, resilience, compassion (including </w:t>
      </w:r>
      <w:hyperlink r:id="rId18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self-compassion</w:t>
        </w:r>
      </w:hyperlink>
      <w:r w:rsidDel="00000000" w:rsidR="00000000" w:rsidRPr="00000000">
        <w:rPr>
          <w:sz w:val="30"/>
          <w:szCs w:val="30"/>
          <w:rtl w:val="0"/>
        </w:rPr>
        <w:t xml:space="preserve">), or internal harmony. For some, it may involve religion but can also arise from a </w:t>
      </w:r>
      <w:hyperlink r:id="rId19">
        <w:r w:rsidDel="00000000" w:rsidR="00000000" w:rsidRPr="00000000">
          <w:rPr>
            <w:color w:val="c91459"/>
            <w:sz w:val="30"/>
            <w:szCs w:val="30"/>
            <w:u w:val="single"/>
            <w:rtl w:val="0"/>
          </w:rPr>
          <w:t xml:space="preserve">human connection</w:t>
        </w:r>
      </w:hyperlink>
      <w:r w:rsidDel="00000000" w:rsidR="00000000" w:rsidRPr="00000000">
        <w:rPr>
          <w:sz w:val="30"/>
          <w:szCs w:val="30"/>
          <w:rtl w:val="0"/>
        </w:rPr>
        <w:t xml:space="preserve"> and harmony with the world around you.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etterup.com/blog/mental-health-awareness" TargetMode="External"/><Relationship Id="rId10" Type="http://schemas.openxmlformats.org/officeDocument/2006/relationships/hyperlink" Target="https://www.betterup.com/blog/mental-health-and-money" TargetMode="External"/><Relationship Id="rId13" Type="http://schemas.openxmlformats.org/officeDocument/2006/relationships/hyperlink" Target="https://www.betterup.com/blog/environmental-health" TargetMode="External"/><Relationship Id="rId12" Type="http://schemas.openxmlformats.org/officeDocument/2006/relationships/hyperlink" Target="https://www.betterup.com/blog/chronic-str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tterup.com/blog/chronic-stress" TargetMode="External"/><Relationship Id="rId15" Type="http://schemas.openxmlformats.org/officeDocument/2006/relationships/hyperlink" Target="https://www.betterup.com/blog/is-poor-mental-health-and-well-being-contagious" TargetMode="External"/><Relationship Id="rId14" Type="http://schemas.openxmlformats.org/officeDocument/2006/relationships/hyperlink" Target="https://www.betterup.com/blog/why-psychological-safety-at-work-matters" TargetMode="External"/><Relationship Id="rId17" Type="http://schemas.openxmlformats.org/officeDocument/2006/relationships/hyperlink" Target="https://www.betterup.com/blog/how-to-find-inner-peace" TargetMode="External"/><Relationship Id="rId16" Type="http://schemas.openxmlformats.org/officeDocument/2006/relationships/hyperlink" Target="https://www.betterup.com/blog/finding-purpos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etterup.com/blog/human-connection" TargetMode="External"/><Relationship Id="rId6" Type="http://schemas.openxmlformats.org/officeDocument/2006/relationships/hyperlink" Target="https://www.betterup.com/blog/invisible-illness" TargetMode="External"/><Relationship Id="rId18" Type="http://schemas.openxmlformats.org/officeDocument/2006/relationships/hyperlink" Target="https://www.betterup.com/blog/self-compassion" TargetMode="External"/><Relationship Id="rId7" Type="http://schemas.openxmlformats.org/officeDocument/2006/relationships/hyperlink" Target="https://www.betterup.com/blog/mental-health-and-money" TargetMode="External"/><Relationship Id="rId8" Type="http://schemas.openxmlformats.org/officeDocument/2006/relationships/hyperlink" Target="https://www.betterup.com/blog/mental-health-aware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