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3FF2" w14:textId="4B1E0E61" w:rsidR="00EF58AF" w:rsidRPr="005C3289" w:rsidRDefault="002528F4" w:rsidP="00BD253E">
      <w:pPr>
        <w:pStyle w:val="Heading1"/>
        <w:spacing w:before="120" w:after="120"/>
        <w:rPr>
          <w:rStyle w:val="None"/>
          <w:rFonts w:cs="Times New Roman"/>
          <w:sz w:val="24"/>
          <w:szCs w:val="24"/>
        </w:rPr>
      </w:pPr>
      <w:r w:rsidRPr="005C3289">
        <w:rPr>
          <w:rStyle w:val="None"/>
          <w:rFonts w:cs="Times New Roman"/>
          <w:sz w:val="24"/>
          <w:szCs w:val="24"/>
        </w:rPr>
        <w:t>Methodology for data analysis</w:t>
      </w:r>
    </w:p>
    <w:p w14:paraId="3AA011C2" w14:textId="5471A048" w:rsidR="0063287A" w:rsidRPr="005C3289" w:rsidRDefault="0063287A" w:rsidP="0063287A">
      <w:pPr>
        <w:pStyle w:val="Heading2"/>
        <w:rPr>
          <w:rStyle w:val="None"/>
          <w:rFonts w:cs="Times New Roman"/>
          <w:sz w:val="24"/>
          <w:szCs w:val="24"/>
        </w:rPr>
      </w:pPr>
      <w:r w:rsidRPr="005C3289">
        <w:rPr>
          <w:rStyle w:val="None"/>
          <w:rFonts w:cs="Times New Roman"/>
          <w:sz w:val="24"/>
          <w:szCs w:val="24"/>
        </w:rPr>
        <w:t>Overview of the data</w:t>
      </w:r>
    </w:p>
    <w:p w14:paraId="00C442FC" w14:textId="07F77069" w:rsidR="002528F4" w:rsidRPr="005C3289" w:rsidRDefault="002528F4" w:rsidP="00BD253E">
      <w:pPr>
        <w:pStyle w:val="Default"/>
        <w:spacing w:before="120" w:after="120"/>
        <w:rPr>
          <w:rStyle w:val="None"/>
          <w:rFonts w:ascii="Times New Roman" w:eastAsia="Times New Roman" w:hAnsi="Times New Roman" w:cs="Times New Roman"/>
          <w:color w:val="0070C0"/>
          <w:u w:color="0070C0"/>
        </w:rPr>
      </w:pPr>
      <w:r w:rsidRPr="005C3289">
        <w:rPr>
          <w:rStyle w:val="None"/>
          <w:rFonts w:ascii="Times New Roman" w:hAnsi="Times New Roman" w:cs="Times New Roman"/>
          <w:b/>
          <w:bCs/>
          <w:color w:val="0070C0"/>
          <w:u w:color="0070C0"/>
        </w:rPr>
        <w:t xml:space="preserve">Data source </w:t>
      </w:r>
    </w:p>
    <w:p w14:paraId="044A6C75" w14:textId="3B286350" w:rsidR="002528F4" w:rsidRPr="005C3289" w:rsidRDefault="002528F4" w:rsidP="00BD253E">
      <w:pPr>
        <w:pStyle w:val="Default"/>
        <w:spacing w:before="120" w:after="120"/>
        <w:jc w:val="both"/>
        <w:rPr>
          <w:rStyle w:val="None"/>
          <w:rFonts w:ascii="Times New Roman" w:eastAsia="Times New Roman" w:hAnsi="Times New Roman" w:cs="Times New Roman"/>
          <w:color w:val="auto"/>
        </w:rPr>
      </w:pPr>
      <w:r w:rsidRPr="005C3289">
        <w:rPr>
          <w:rStyle w:val="None"/>
          <w:rFonts w:ascii="Times New Roman" w:hAnsi="Times New Roman" w:cs="Times New Roman"/>
        </w:rPr>
        <w:t xml:space="preserve">The analysis </w:t>
      </w:r>
      <w:r w:rsidR="00282C3E" w:rsidRPr="005C3289">
        <w:rPr>
          <w:rStyle w:val="None"/>
          <w:rFonts w:ascii="Times New Roman" w:hAnsi="Times New Roman" w:cs="Times New Roman"/>
        </w:rPr>
        <w:t>i</w:t>
      </w:r>
      <w:r w:rsidRPr="005C3289">
        <w:rPr>
          <w:rStyle w:val="None"/>
          <w:rFonts w:ascii="Times New Roman" w:hAnsi="Times New Roman" w:cs="Times New Roman"/>
        </w:rPr>
        <w:t xml:space="preserve">s based entirely on data that are publicly available through OECD DAC in the Climate-related finance dataset of the </w:t>
      </w:r>
      <w:r w:rsidRPr="005C3289">
        <w:rPr>
          <w:rStyle w:val="None"/>
          <w:rFonts w:ascii="Times New Roman" w:hAnsi="Times New Roman" w:cs="Times New Roman"/>
          <w:i/>
          <w:iCs/>
        </w:rPr>
        <w:t xml:space="preserve">External Development Finance Statistics </w:t>
      </w:r>
      <w:r w:rsidRPr="005C3289">
        <w:rPr>
          <w:rStyle w:val="None"/>
          <w:rFonts w:ascii="Times New Roman" w:hAnsi="Times New Roman" w:cs="Times New Roman"/>
        </w:rPr>
        <w:t>database</w:t>
      </w:r>
      <w:r w:rsidRPr="005C3289">
        <w:rPr>
          <w:rStyle w:val="None"/>
          <w:rFonts w:ascii="Times New Roman" w:hAnsi="Times New Roman" w:cs="Times New Roman"/>
          <w:color w:val="F00078"/>
          <w:u w:color="F00078"/>
        </w:rPr>
        <w:t xml:space="preserve"> </w:t>
      </w:r>
      <w:r w:rsidRPr="005C3289">
        <w:rPr>
          <w:rStyle w:val="None"/>
          <w:rFonts w:ascii="Times New Roman" w:hAnsi="Times New Roman" w:cs="Times New Roman"/>
        </w:rPr>
        <w:t>(</w:t>
      </w:r>
      <w:r w:rsidRPr="005C3289">
        <w:rPr>
          <w:rStyle w:val="None"/>
          <w:rFonts w:ascii="Times New Roman" w:hAnsi="Times New Roman" w:cs="Times New Roman"/>
          <w:u w:val="single"/>
        </w:rPr>
        <w:t>http://www.oecd.org/dac/financing-sustainable-development/development-finance- topics/climate-change.htm</w:t>
      </w:r>
      <w:r w:rsidRPr="005C3289">
        <w:rPr>
          <w:rStyle w:val="None"/>
          <w:rFonts w:ascii="Times New Roman" w:hAnsi="Times New Roman" w:cs="Times New Roman"/>
        </w:rPr>
        <w:t xml:space="preserve">) </w:t>
      </w:r>
      <w:r w:rsidR="00282C3E" w:rsidRPr="005C3289">
        <w:rPr>
          <w:rStyle w:val="None"/>
          <w:rFonts w:ascii="Times New Roman" w:hAnsi="Times New Roman" w:cs="Times New Roman"/>
          <w:color w:val="auto"/>
        </w:rPr>
        <w:t>which</w:t>
      </w:r>
      <w:r w:rsidRPr="005C3289">
        <w:rPr>
          <w:rStyle w:val="None"/>
          <w:rFonts w:ascii="Times New Roman" w:hAnsi="Times New Roman" w:cs="Times New Roman"/>
          <w:color w:val="auto"/>
        </w:rPr>
        <w:t xml:space="preserve"> provide</w:t>
      </w:r>
      <w:r w:rsidR="00282C3E" w:rsidRPr="005C3289">
        <w:rPr>
          <w:rStyle w:val="None"/>
          <w:rFonts w:ascii="Times New Roman" w:hAnsi="Times New Roman" w:cs="Times New Roman"/>
          <w:color w:val="auto"/>
        </w:rPr>
        <w:t>s</w:t>
      </w:r>
      <w:r w:rsidRPr="005C3289">
        <w:rPr>
          <w:rStyle w:val="None"/>
          <w:rFonts w:ascii="Times New Roman" w:hAnsi="Times New Roman" w:cs="Times New Roman"/>
          <w:color w:val="auto"/>
        </w:rPr>
        <w:t xml:space="preserve"> transaction-level data</w:t>
      </w:r>
      <w:r w:rsidR="00282C3E" w:rsidRPr="005C3289">
        <w:rPr>
          <w:rStyle w:val="None"/>
          <w:rFonts w:ascii="Times New Roman" w:hAnsi="Times New Roman" w:cs="Times New Roman"/>
          <w:color w:val="auto"/>
        </w:rPr>
        <w:t>.</w:t>
      </w:r>
    </w:p>
    <w:p w14:paraId="362F6CBE" w14:textId="01AABA43" w:rsidR="002528F4" w:rsidRPr="005C3289" w:rsidRDefault="002528F4" w:rsidP="00BD253E">
      <w:pPr>
        <w:pStyle w:val="Default"/>
        <w:spacing w:before="120" w:after="120"/>
        <w:rPr>
          <w:rStyle w:val="None"/>
          <w:rFonts w:ascii="Times New Roman" w:eastAsia="Times New Roman" w:hAnsi="Times New Roman" w:cs="Times New Roman"/>
          <w:b/>
          <w:bCs/>
          <w:color w:val="0070C0"/>
          <w:u w:color="0070C0"/>
        </w:rPr>
      </w:pPr>
      <w:r w:rsidRPr="005C3289">
        <w:rPr>
          <w:rStyle w:val="None"/>
          <w:rFonts w:ascii="Times New Roman" w:hAnsi="Times New Roman" w:cs="Times New Roman"/>
          <w:b/>
          <w:bCs/>
          <w:color w:val="0070C0"/>
          <w:u w:color="0070C0"/>
        </w:rPr>
        <w:t>Accounting methods for estimating</w:t>
      </w:r>
      <w:r w:rsidR="00F65FD7" w:rsidRPr="005C3289">
        <w:rPr>
          <w:rStyle w:val="None"/>
          <w:rFonts w:ascii="Times New Roman" w:hAnsi="Times New Roman" w:cs="Times New Roman"/>
          <w:b/>
          <w:bCs/>
          <w:color w:val="0070C0"/>
          <w:u w:color="0070C0"/>
        </w:rPr>
        <w:t xml:space="preserve"> and reporting of</w:t>
      </w:r>
      <w:r w:rsidRPr="005C3289">
        <w:rPr>
          <w:rStyle w:val="None"/>
          <w:rFonts w:ascii="Times New Roman" w:hAnsi="Times New Roman" w:cs="Times New Roman"/>
          <w:b/>
          <w:bCs/>
          <w:color w:val="0070C0"/>
          <w:u w:color="0070C0"/>
        </w:rPr>
        <w:t xml:space="preserve"> climate-related development </w:t>
      </w:r>
      <w:proofErr w:type="gramStart"/>
      <w:r w:rsidRPr="005C3289">
        <w:rPr>
          <w:rStyle w:val="None"/>
          <w:rFonts w:ascii="Times New Roman" w:hAnsi="Times New Roman" w:cs="Times New Roman"/>
          <w:b/>
          <w:bCs/>
          <w:color w:val="0070C0"/>
          <w:u w:color="0070C0"/>
        </w:rPr>
        <w:t>finance</w:t>
      </w:r>
      <w:proofErr w:type="gramEnd"/>
    </w:p>
    <w:p w14:paraId="546B88C0" w14:textId="77777777" w:rsidR="002528F4" w:rsidRPr="005C3289" w:rsidRDefault="002528F4" w:rsidP="00BD253E">
      <w:pPr>
        <w:pStyle w:val="Default"/>
        <w:spacing w:before="120" w:after="120"/>
        <w:jc w:val="both"/>
        <w:rPr>
          <w:rStyle w:val="None"/>
          <w:rFonts w:ascii="Times New Roman" w:eastAsia="Times New Roman" w:hAnsi="Times New Roman" w:cs="Times New Roman"/>
        </w:rPr>
      </w:pPr>
      <w:r w:rsidRPr="005C3289">
        <w:rPr>
          <w:rStyle w:val="None"/>
          <w:rFonts w:ascii="Times New Roman" w:hAnsi="Times New Roman" w:cs="Times New Roman"/>
        </w:rPr>
        <w:t>Two main methodologies are presently used for tracking and reporting climate-related finance by bilateral and multilateral funders: the OECD Rio Marker and the Climate Components methodologies.</w:t>
      </w:r>
    </w:p>
    <w:p w14:paraId="3C6A1287" w14:textId="77777777" w:rsidR="002528F4" w:rsidRPr="005C3289" w:rsidRDefault="002528F4" w:rsidP="00BD253E">
      <w:pPr>
        <w:spacing w:before="120" w:after="120"/>
        <w:jc w:val="both"/>
        <w:rPr>
          <w:rStyle w:val="None"/>
        </w:rPr>
      </w:pPr>
      <w:r w:rsidRPr="005C3289">
        <w:rPr>
          <w:rStyle w:val="None"/>
        </w:rPr>
        <w:t xml:space="preserve">All funders other than the MDBs report transaction-level data on commitments and disbursement to the </w:t>
      </w:r>
      <w:commentRangeStart w:id="0"/>
      <w:r w:rsidRPr="005C3289">
        <w:rPr>
          <w:rStyle w:val="None"/>
        </w:rPr>
        <w:t>OECD</w:t>
      </w:r>
      <w:r w:rsidRPr="005C3289">
        <w:rPr>
          <w:rStyle w:val="None"/>
          <w:rtl/>
          <w:lang w:val="ar-SA"/>
        </w:rPr>
        <w:t>’</w:t>
      </w:r>
      <w:r w:rsidRPr="005C3289">
        <w:rPr>
          <w:rStyle w:val="None"/>
        </w:rPr>
        <w:t xml:space="preserve">s </w:t>
      </w:r>
      <w:r w:rsidRPr="005C3289">
        <w:rPr>
          <w:rStyle w:val="None"/>
          <w:i/>
          <w:iCs/>
        </w:rPr>
        <w:t xml:space="preserve">Creditor Reporting System (CRS) </w:t>
      </w:r>
      <w:r w:rsidRPr="005C3289">
        <w:rPr>
          <w:rStyle w:val="None"/>
        </w:rPr>
        <w:t>database</w:t>
      </w:r>
      <w:commentRangeEnd w:id="0"/>
      <w:r w:rsidR="00825CD0">
        <w:rPr>
          <w:rStyle w:val="CommentReference"/>
        </w:rPr>
        <w:commentReference w:id="0"/>
      </w:r>
      <w:r w:rsidRPr="005C3289">
        <w:rPr>
          <w:rStyle w:val="None"/>
        </w:rPr>
        <w:t xml:space="preserve">, and denote which of this finance targeted climate change by using the Rio Markers for climate change </w:t>
      </w:r>
      <w:r w:rsidRPr="005C3289">
        <w:rPr>
          <w:rStyle w:val="None"/>
        </w:rPr>
        <w:fldChar w:fldCharType="begin"/>
      </w:r>
      <w:r w:rsidRPr="005C3289">
        <w:rPr>
          <w:rStyle w:val="None"/>
        </w:rPr>
        <w:instrText xml:space="preserve"> ADDIN ZOTERO_ITEM CSL_CITATION {"citationID":"QVKsDZzA","properties":{"formattedCitation":"(OECD DAC n.d.)","plainCitation":"(OECD DAC n.d.)","noteIndex":0},"citationItems":[{"id":18081,"uris":["http://zotero.org/users/797665/items/HW53EEQB"],"uri":["http://zotero.org/users/797665/items/HW53EEQB"],"itemData":{"id":18081,"type":"report","publisher":"Organisation for Economic  Co-operation and Development Development Assistance Committee","title":"OECD DAC Rio Markers for Climate: Handbook","URL":"https://www.oecd.org/dac/environment-development/Revised%20climate%20marker%20handbook_FINAL.pdf","author":[{"family":"OECD DAC","given":""}],"issued":{"literal":"n.d."}}}],"schema":"https://github.com/citation-style-language/schema/raw/master/csl-citation.json"} </w:instrText>
      </w:r>
      <w:r w:rsidRPr="005C3289">
        <w:rPr>
          <w:rStyle w:val="None"/>
        </w:rPr>
        <w:fldChar w:fldCharType="separate"/>
      </w:r>
      <w:r w:rsidRPr="005C3289">
        <w:rPr>
          <w:rStyle w:val="None"/>
          <w:noProof/>
        </w:rPr>
        <w:t>(OECD DAC n.d.)</w:t>
      </w:r>
      <w:r w:rsidRPr="005C3289">
        <w:rPr>
          <w:rStyle w:val="None"/>
        </w:rPr>
        <w:fldChar w:fldCharType="end"/>
      </w:r>
      <w:r w:rsidRPr="005C3289">
        <w:rPr>
          <w:rStyle w:val="None"/>
        </w:rPr>
        <w:t xml:space="preserve">. For each transaction, funders indicate whether adaptation and/or mitigation was targeted as a </w:t>
      </w:r>
      <w:r w:rsidRPr="005C3289">
        <w:rPr>
          <w:rStyle w:val="None"/>
          <w:rtl/>
          <w:lang w:val="ar-SA"/>
        </w:rPr>
        <w:t>“</w:t>
      </w:r>
      <w:r w:rsidRPr="005C3289">
        <w:rPr>
          <w:rStyle w:val="None"/>
        </w:rPr>
        <w:t xml:space="preserve">principal” objective, a </w:t>
      </w:r>
      <w:r w:rsidRPr="005C3289">
        <w:rPr>
          <w:rStyle w:val="None"/>
          <w:rtl/>
          <w:lang w:val="ar-SA"/>
        </w:rPr>
        <w:t>“</w:t>
      </w:r>
      <w:r w:rsidRPr="005C3289">
        <w:rPr>
          <w:rStyle w:val="None"/>
        </w:rPr>
        <w:t xml:space="preserve">significant” objective or was </w:t>
      </w:r>
      <w:r w:rsidRPr="005C3289">
        <w:rPr>
          <w:rStyle w:val="None"/>
          <w:rtl/>
          <w:lang w:val="ar-SA"/>
        </w:rPr>
        <w:t>“</w:t>
      </w:r>
      <w:r w:rsidRPr="005C3289">
        <w:rPr>
          <w:rStyle w:val="None"/>
        </w:rPr>
        <w:t xml:space="preserve">not targeted”. </w:t>
      </w:r>
      <w:r w:rsidRPr="005C3289">
        <w:rPr>
          <w:rStyle w:val="None"/>
          <w:rtl/>
          <w:lang w:val="ar-SA"/>
        </w:rPr>
        <w:t>“</w:t>
      </w:r>
      <w:r w:rsidRPr="005C3289">
        <w:rPr>
          <w:rStyle w:val="None"/>
        </w:rPr>
        <w:t xml:space="preserve">Principal” denotes that the objective (mitigation or adaptation) is clearly stated and is fundamental in the motivation for the project and in design of the activities. </w:t>
      </w:r>
      <w:r w:rsidRPr="005C3289">
        <w:rPr>
          <w:rStyle w:val="None"/>
          <w:rtl/>
          <w:lang w:val="ar-SA"/>
        </w:rPr>
        <w:t>“</w:t>
      </w:r>
      <w:r w:rsidRPr="005C3289">
        <w:rPr>
          <w:rStyle w:val="None"/>
        </w:rPr>
        <w:t xml:space="preserve">Significant” is used where mitigation or adaptation is an explicit objective but is not the primary driver for the project. Activities that the funder considers not to target adaptation or mitigation in any meaningful way are tagged as </w:t>
      </w:r>
      <w:r w:rsidRPr="005C3289">
        <w:rPr>
          <w:rStyle w:val="None"/>
          <w:rtl/>
          <w:lang w:val="ar-SA"/>
        </w:rPr>
        <w:t>“</w:t>
      </w:r>
      <w:r w:rsidRPr="005C3289">
        <w:rPr>
          <w:rStyle w:val="None"/>
        </w:rPr>
        <w:t xml:space="preserve">Not targeted”. The mitigation and adaptation markers can be applied to the same project, meaning they are not mutually exclusive – which needs to be taken account of when the data is </w:t>
      </w:r>
      <w:proofErr w:type="spellStart"/>
      <w:r w:rsidRPr="005C3289">
        <w:rPr>
          <w:rStyle w:val="None"/>
        </w:rPr>
        <w:t>analysed</w:t>
      </w:r>
      <w:proofErr w:type="spellEnd"/>
      <w:r w:rsidRPr="005C3289">
        <w:rPr>
          <w:rStyle w:val="None"/>
        </w:rPr>
        <w:t xml:space="preserve">. </w:t>
      </w:r>
    </w:p>
    <w:p w14:paraId="4C55AAA5" w14:textId="77777777" w:rsidR="002528F4" w:rsidRPr="005C3289" w:rsidRDefault="002528F4" w:rsidP="00BD253E">
      <w:pPr>
        <w:pStyle w:val="Body"/>
        <w:spacing w:before="120" w:after="120"/>
        <w:jc w:val="both"/>
        <w:rPr>
          <w:rStyle w:val="None"/>
          <w:rFonts w:cs="Times New Roman"/>
          <w:highlight w:val="yellow"/>
        </w:rPr>
      </w:pPr>
      <w:r w:rsidRPr="005C3289">
        <w:rPr>
          <w:rStyle w:val="None"/>
          <w:rFonts w:cs="Times New Roman"/>
        </w:rPr>
        <w:t xml:space="preserve">For funders using the Rio Markers when reporting in the Creditor Reporting System, the data included in this analysis is for financial support that was reported as </w:t>
      </w:r>
      <w:r w:rsidRPr="005C3289">
        <w:rPr>
          <w:rStyle w:val="None"/>
          <w:rFonts w:cs="Times New Roman"/>
          <w:i/>
          <w:iCs/>
        </w:rPr>
        <w:t xml:space="preserve">principally </w:t>
      </w:r>
      <w:r w:rsidRPr="005C3289">
        <w:rPr>
          <w:rStyle w:val="None"/>
          <w:rFonts w:cs="Times New Roman"/>
        </w:rPr>
        <w:t xml:space="preserve">targeting climate change – in other words, this was the main aim of the activity and the activity would not have been implemented without this aim. Previous studies have concluded that finance reported as ‘significantly’ targeting climate change is likely to overstate the level of relevant financial support </w:t>
      </w:r>
      <w:r w:rsidRPr="005C3289">
        <w:rPr>
          <w:rStyle w:val="None"/>
          <w:rFonts w:cs="Times New Roman"/>
        </w:rPr>
        <w:fldChar w:fldCharType="begin"/>
      </w:r>
      <w:r w:rsidRPr="005C3289">
        <w:rPr>
          <w:rStyle w:val="None"/>
          <w:rFonts w:cs="Times New Roman"/>
        </w:rPr>
        <w:instrText xml:space="preserve"> ADDIN ZOTERO_ITEM CSL_CITATION {"citationID":"SonhhQ9W","properties":{"formattedCitation":"(Weikmans et al. 2017; Michaelowa and Michaelowa 2011; Junghans and Harmeling 2012; AdaptationWatch 2015; Weiler, Kl\\uc0\\u246{}ck, and Dornan 2018)","plainCitation":"(Weikmans et al. 2017; Michaelowa and Michaelowa 2011; Junghans and Harmeling 2012; AdaptationWatch 2015; Weiler, Klöck, and Dornan 2018)","noteIndex":0},"citationItems":[{"id":9,"uris":["http://zotero.org/users/797665/items/75SHXPUM"],"uri":["http://zotero.org/users/797665/items/75SHXPUM"],"itemData":{"id":9,"type":"article-journal","abstract":"This article presents the findings of a re-evaluation of all 5,200 aid projects that OECD donors reported for 2012 as “climate change adaptation”related, based on the “Rio marker” classification system. The findings confirm those from the academic and grey literature that the absence of independent quality control makes the adaptation Rio marker data almost entirely unreliable. This lack of credibility impedes meaningful assessments of progress toward the mainstreaming of adaptation in development cooperation activities. It also erodes trust in international climate negotiations, given that these data are frequently used in the financial reporting of developed countries to the UNFCCC.","container-title":"Development in Practice","DOI":"10.1080/09614524.2017.1307325","ISSN":"0961-4524, 1364-9213","issue":"4","language":"en","page":"458-471","source":"Crossref","title":"Assessing the credibility of how climate adaptation aid projects are categorised","volume":"27","author":[{"family":"Weikmans","given":"Romain"},{"family":"Timmons Roberts","given":"J."},{"family":"Baum","given":"Jeffrey"},{"family":"Bustos","given":"Maria Camila"},{"family":"Durand","given":"Alexis"}],"issued":{"date-parts":[["2017",5,19]]}}},{"id":12,"uris":["http://zotero.org/users/797665/items/TFJP5UNF"],"uri":["http://zotero.org/users/797665/items/TFJP5UNF"],"itemData":{"id":12,"type":"article-journal","abstract":"To beneﬁt from a wide-spread public support for climate policy, aid agencies strive to show the climate relevance of their development activities. Using project-level aid data and country-level political data for 21 DAC donors from 1995 to 2007, we test whether this may lead to politically motivated misreporting. Through keyword search in individual project descriptions and complementary hand-coding we assess all aid activities for their actual climate change-related content, and thereby construct our most relevant control variables. Econometric results reveal that indeed, project coding is inﬂuenced systematically by the donor governments’ ideological orientation as well as by national voters’ environmental preferences.","container-title":"World Development","DOI":"10.1016/j.worlddev.2011.07.020","ISSN":"0305750X","issue":"11","language":"en","page":"2010-2020","source":"Crossref","title":"Coding Error or Statistical Embellishment? The Political Economy of Reporting Climate Aid","title-short":"Coding Error or Statistical Embellishment?","volume":"39","author":[{"family":"Michaelowa","given":"Axel"},{"family":"Michaelowa","given":"Katharina"}],"issued":{"date-parts":[["2011",11]]}}},{"id":191,"uris":["http://zotero.org/users/797665/items/R5NGNMHD"],"uri":["http://zotero.org/users/797665/items/R5NGNMHD"],"itemData":{"id":191,"type":"report","genre":"Briefing Paper","publisher":"Germanwatch","title":"Different tales from different countries: A first assessment of the \"adaptation marker\"","URL":"http://germanwatch.org/fr/download/7083.pdf","author":[{"family":"Junghans","given":"Lisa"},{"family":"Harmeling","given":"Sven"}],"accessed":{"date-parts":[["2017",7,25]]},"issued":{"date-parts":[["2012",9]]}}},{"id":190,"uris":["http://zotero.org/users/797665/items/THME42NX"],"uri":["http://zotero.org/users/797665/items/THME42NX"],"itemData":{"id":190,"type":"report","genre":"Policy Briefing","title":"Toward Mutual  Accountability: The 2015 Adaptation Finance  Transparency Gap Report.","URL":"AdaptationWatch.org","author":[{"family":"AdaptationWatch","given":""}],"accessed":{"date-parts":[["2017",7,25]]},"issued":{"date-parts":[["2015"]]}}},{"id":2,"uris":["http://zotero.org/users/797665/items/WI4U9VEA"],"uri":["http://zotero.org/users/797665/items/WI4U9VEA"],"itemData":{"id":2,"type":"article-journal","abstract":"Developed countries provide increasing amounts of aid to assist developing countries adapt to the impacts of climate change. How do they distribute this aid? While donors agreed to prioritise ‘‘particularly vulnerable” countries, we know from the general aid allocation literature that donors (also) use aid as a foreign policy tool to promote their own economic and political goals. In this paper, we analyse data on bilateral adaptation aid from 2010 through 2015 to assess to what extent adaptation aid is provided in response to recipient need (that is, vulnerability to climate change impacts) as opposed to recipient merit (that is, good governance) and donors’ interests. In contrast to previous research, we ﬁnd that donors partly take into account vulnerability to climate change. Countries that are physically more exposed to climate change tend to be more likely to receive some adaptation aid and also receive more adaptation aid per capita, as do poorer countries, small island developing states and—to a lesser extent—least developed countries. Countries with lower adaptive capacity, however, do not receive more adaptation aid; instead, donors reward well-governed countries with adaptation aid as well as use adaptation aid to promote their own economic interests. Furthermore, adaptation aid ﬂows very closely follow general development aid ﬂows. The extent to which adaptation aid is new and additional thus remains unclear.","container-title":"World Development","DOI":"10.1016/j.worlddev.2017.11.001","ISSN":"0305750X","language":"en","page":"65-77","source":"Crossref","title":"Vulnerability, good governance, or donor interests? The allocation of aid for climate change adaptation","title-short":"Vulnerability, good governance, or donor interests?","volume":"104","author":[{"family":"Weiler","given":"Florian"},{"family":"Klöck","given":"Carola"},{"family":"Dornan","given":"Matthew"}],"issued":{"date-parts":[["2018",4]]}}}],"schema":"https://github.com/citation-style-language/schema/raw/master/csl-citation.json"} </w:instrText>
      </w:r>
      <w:r w:rsidRPr="005C3289">
        <w:rPr>
          <w:rStyle w:val="None"/>
          <w:rFonts w:cs="Times New Roman"/>
        </w:rPr>
        <w:fldChar w:fldCharType="separate"/>
      </w:r>
      <w:r w:rsidRPr="005C3289">
        <w:rPr>
          <w:rFonts w:cs="Times New Roman"/>
          <w:lang w:val="en-GB"/>
        </w:rPr>
        <w:t>(Weikmans et al. 2017; Michaelowa and Michaelowa 2011; Junghans and Harmeling 2012; AdaptationWatch 2015; Weiler, Klöck, and Dornan 2018)</w:t>
      </w:r>
      <w:r w:rsidRPr="005C3289">
        <w:rPr>
          <w:rStyle w:val="None"/>
          <w:rFonts w:cs="Times New Roman"/>
        </w:rPr>
        <w:fldChar w:fldCharType="end"/>
      </w:r>
      <w:r w:rsidRPr="005C3289">
        <w:rPr>
          <w:rStyle w:val="None"/>
          <w:rFonts w:cs="Times New Roman"/>
        </w:rPr>
        <w:t xml:space="preserve">. Thus, activities tagged as ‘significantly’ targeting climate change are excluded. </w:t>
      </w:r>
      <w:r w:rsidRPr="005C3289">
        <w:rPr>
          <w:rStyle w:val="None"/>
          <w:rFonts w:cs="Times New Roman"/>
          <w:highlight w:val="yellow"/>
        </w:rPr>
        <w:t xml:space="preserve">  </w:t>
      </w:r>
    </w:p>
    <w:p w14:paraId="11281728" w14:textId="5431D005" w:rsidR="002528F4" w:rsidRPr="005C3289" w:rsidRDefault="002528F4" w:rsidP="00BD253E">
      <w:pPr>
        <w:pStyle w:val="Default"/>
        <w:spacing w:before="120" w:after="120"/>
        <w:jc w:val="both"/>
        <w:rPr>
          <w:rStyle w:val="None"/>
          <w:rFonts w:ascii="Times New Roman" w:hAnsi="Times New Roman" w:cs="Times New Roman"/>
          <w:highlight w:val="yellow"/>
        </w:rPr>
      </w:pPr>
      <w:r w:rsidRPr="005C3289">
        <w:rPr>
          <w:rStyle w:val="None"/>
          <w:rFonts w:ascii="Times New Roman" w:hAnsi="Times New Roman" w:cs="Times New Roman"/>
        </w:rPr>
        <w:t xml:space="preserve">The MDBs report data on their support for climate change based on their own </w:t>
      </w:r>
      <w:r w:rsidRPr="005C3289">
        <w:rPr>
          <w:rStyle w:val="None"/>
          <w:rFonts w:ascii="Times New Roman" w:hAnsi="Times New Roman" w:cs="Times New Roman"/>
          <w:i/>
          <w:iCs/>
        </w:rPr>
        <w:t xml:space="preserve">Joint MDB Methodology for Tracking Climate Mitigation Finance </w:t>
      </w:r>
      <w:r w:rsidRPr="005C3289">
        <w:rPr>
          <w:rStyle w:val="None"/>
          <w:rFonts w:ascii="Times New Roman" w:hAnsi="Times New Roman" w:cs="Times New Roman"/>
        </w:rPr>
        <w:t xml:space="preserve">and </w:t>
      </w:r>
      <w:r w:rsidRPr="005C3289">
        <w:rPr>
          <w:rStyle w:val="None"/>
          <w:rFonts w:ascii="Times New Roman" w:hAnsi="Times New Roman" w:cs="Times New Roman"/>
          <w:i/>
          <w:iCs/>
        </w:rPr>
        <w:t>Joint MDB Methodology for Tracking Climate Adaptation Finance</w:t>
      </w:r>
      <w:r w:rsidRPr="005C3289">
        <w:rPr>
          <w:rStyle w:val="None"/>
          <w:rFonts w:ascii="Times New Roman" w:hAnsi="Times New Roman" w:cs="Times New Roman"/>
        </w:rPr>
        <w:t xml:space="preserve"> (</w:t>
      </w:r>
      <w:r w:rsidRPr="005C3289">
        <w:rPr>
          <w:rStyle w:val="None"/>
          <w:rFonts w:ascii="Times New Roman" w:hAnsi="Times New Roman" w:cs="Times New Roman"/>
          <w:rtl/>
          <w:lang w:val="ar-SA"/>
        </w:rPr>
        <w:t>‘</w:t>
      </w:r>
      <w:r w:rsidRPr="005C3289">
        <w:rPr>
          <w:rStyle w:val="None"/>
          <w:rFonts w:ascii="Times New Roman" w:hAnsi="Times New Roman" w:cs="Times New Roman"/>
        </w:rPr>
        <w:t>Climate Components’</w:t>
      </w:r>
      <w:r w:rsidRPr="005C3289">
        <w:rPr>
          <w:rStyle w:val="None"/>
          <w:rFonts w:ascii="Times New Roman" w:hAnsi="Times New Roman" w:cs="Times New Roman"/>
          <w:rtl/>
          <w:lang w:val="ar-SA"/>
        </w:rPr>
        <w:t xml:space="preserve"> </w:t>
      </w:r>
      <w:r w:rsidRPr="005C3289">
        <w:rPr>
          <w:rStyle w:val="None"/>
          <w:rFonts w:ascii="Times New Roman" w:hAnsi="Times New Roman" w:cs="Times New Roman"/>
        </w:rPr>
        <w:t>methodology)</w:t>
      </w:r>
      <w:r w:rsidRPr="005C3289">
        <w:rPr>
          <w:rStyle w:val="None"/>
          <w:rFonts w:ascii="Times New Roman" w:hAnsi="Times New Roman" w:cs="Times New Roman"/>
        </w:rPr>
        <w:fldChar w:fldCharType="begin"/>
      </w:r>
      <w:r w:rsidRPr="005C3289">
        <w:rPr>
          <w:rStyle w:val="None"/>
          <w:rFonts w:ascii="Times New Roman" w:hAnsi="Times New Roman" w:cs="Times New Roman"/>
        </w:rPr>
        <w:instrText xml:space="preserve"> ADDIN ZOTERO_ITEM CSL_CITATION {"citationID":"nwnNirlJ","properties":{"formattedCitation":"(MDB Group 2020)","plainCitation":"(MDB Group 2020)","noteIndex":0},"citationItems":[{"id":18082,"uris":["http://zotero.org/users/797665/items/EV2F92NN"],"uri":["http://zotero.org/users/797665/items/EV2F92NN"],"itemData":{"id":18082,"type":"report","publisher":"Multilateral Development Banks group","title":"2019 Joint report on multilateral development banks’ climate finance","URL":"https://www.eib.org/attachments/press/1257-joint-report-on- mdbs-climate-finance-2019.pdf","author":[{"family":"MDB Group","given":""}],"issued":{"date-parts":[["2020"]]}}}],"schema":"https://github.com/citation-style-language/schema/raw/master/csl-citation.json"} </w:instrText>
      </w:r>
      <w:r w:rsidRPr="005C3289">
        <w:rPr>
          <w:rStyle w:val="None"/>
          <w:rFonts w:ascii="Times New Roman" w:hAnsi="Times New Roman" w:cs="Times New Roman"/>
        </w:rPr>
        <w:fldChar w:fldCharType="separate"/>
      </w:r>
      <w:r w:rsidRPr="005C3289">
        <w:rPr>
          <w:rStyle w:val="None"/>
          <w:rFonts w:ascii="Times New Roman" w:hAnsi="Times New Roman" w:cs="Times New Roman"/>
          <w:noProof/>
        </w:rPr>
        <w:t>(MDB Group 2020)</w:t>
      </w:r>
      <w:r w:rsidRPr="005C3289">
        <w:rPr>
          <w:rStyle w:val="None"/>
          <w:rFonts w:ascii="Times New Roman" w:hAnsi="Times New Roman" w:cs="Times New Roman"/>
        </w:rPr>
        <w:fldChar w:fldCharType="end"/>
      </w:r>
      <w:r w:rsidRPr="005C3289">
        <w:rPr>
          <w:rStyle w:val="None"/>
          <w:rFonts w:ascii="Times New Roman" w:hAnsi="Times New Roman" w:cs="Times New Roman"/>
        </w:rPr>
        <w:t xml:space="preserve">. Whereas funders using the Rio Marker approach tag a project’s full financial value as targeting climate change, the MDBs specify the individual components within a project that are most relevant. This is a notable difference in accounting approach. </w:t>
      </w:r>
      <w:r w:rsidRPr="005C3289">
        <w:rPr>
          <w:rStyle w:val="None"/>
          <w:rFonts w:ascii="Times New Roman" w:hAnsi="Times New Roman" w:cs="Times New Roman"/>
          <w:highlight w:val="yellow"/>
        </w:rPr>
        <w:t>As a result, it is not advisable to directly compare the total amounts reported by MDBs with the amounts reported by other funders</w:t>
      </w:r>
      <w:r w:rsidRPr="005C3289">
        <w:rPr>
          <w:rStyle w:val="None"/>
          <w:rFonts w:ascii="Times New Roman" w:hAnsi="Times New Roman" w:cs="Times New Roman"/>
        </w:rPr>
        <w:t xml:space="preserve">, </w:t>
      </w:r>
      <w:r w:rsidRPr="005C3289">
        <w:rPr>
          <w:rStyle w:val="None"/>
          <w:rFonts w:ascii="Times New Roman" w:hAnsi="Times New Roman" w:cs="Times New Roman"/>
          <w:color w:val="auto"/>
        </w:rPr>
        <w:t xml:space="preserve">since the level of effort (finance) is not directly comparable. </w:t>
      </w:r>
      <w:r w:rsidRPr="005C3289">
        <w:rPr>
          <w:rStyle w:val="None"/>
          <w:rFonts w:ascii="Times New Roman" w:hAnsi="Times New Roman" w:cs="Times New Roman"/>
        </w:rPr>
        <w:t xml:space="preserve">When </w:t>
      </w:r>
      <w:proofErr w:type="spellStart"/>
      <w:r w:rsidRPr="005C3289">
        <w:rPr>
          <w:rStyle w:val="None"/>
          <w:rFonts w:ascii="Times New Roman" w:hAnsi="Times New Roman" w:cs="Times New Roman"/>
        </w:rPr>
        <w:t>analysing</w:t>
      </w:r>
      <w:proofErr w:type="spellEnd"/>
      <w:r w:rsidRPr="005C3289">
        <w:rPr>
          <w:rStyle w:val="None"/>
          <w:rFonts w:ascii="Times New Roman" w:hAnsi="Times New Roman" w:cs="Times New Roman"/>
        </w:rPr>
        <w:t xml:space="preserve"> financial support from the perspective of a recipient country, combining the data obtained from both reporting approaches still provides the most comprehensive picture of how and where financial support for adaptation has been targeted. </w:t>
      </w:r>
      <w:r w:rsidR="00F65FD7" w:rsidRPr="005C3289">
        <w:rPr>
          <w:rStyle w:val="None"/>
          <w:rFonts w:ascii="Times New Roman" w:hAnsi="Times New Roman" w:cs="Times New Roman"/>
        </w:rPr>
        <w:t xml:space="preserve">When </w:t>
      </w:r>
      <w:proofErr w:type="spellStart"/>
      <w:r w:rsidR="00F65FD7" w:rsidRPr="005C3289">
        <w:rPr>
          <w:rStyle w:val="None"/>
          <w:rFonts w:ascii="Times New Roman" w:hAnsi="Times New Roman" w:cs="Times New Roman"/>
        </w:rPr>
        <w:t>analysing</w:t>
      </w:r>
      <w:proofErr w:type="spellEnd"/>
      <w:r w:rsidR="00F65FD7" w:rsidRPr="005C3289">
        <w:rPr>
          <w:rStyle w:val="None"/>
          <w:rFonts w:ascii="Times New Roman" w:hAnsi="Times New Roman" w:cs="Times New Roman"/>
        </w:rPr>
        <w:t xml:space="preserve"> donors individually, this is not an issue. </w:t>
      </w:r>
    </w:p>
    <w:p w14:paraId="4A0D15D9" w14:textId="77777777" w:rsidR="002528F4" w:rsidRPr="005C3289" w:rsidRDefault="002528F4" w:rsidP="00BD253E">
      <w:pPr>
        <w:pStyle w:val="Default"/>
        <w:spacing w:before="120" w:after="120"/>
        <w:jc w:val="both"/>
        <w:rPr>
          <w:rStyle w:val="None"/>
          <w:rFonts w:ascii="Times New Roman" w:eastAsia="Times New Roman" w:hAnsi="Times New Roman" w:cs="Times New Roman"/>
          <w:b/>
          <w:bCs/>
          <w:color w:val="0070C0"/>
          <w:u w:color="0070C0"/>
        </w:rPr>
      </w:pPr>
      <w:r w:rsidRPr="005C3289">
        <w:rPr>
          <w:rStyle w:val="None"/>
          <w:rFonts w:ascii="Times New Roman" w:hAnsi="Times New Roman" w:cs="Times New Roman"/>
          <w:b/>
          <w:bCs/>
          <w:color w:val="0070C0"/>
          <w:u w:color="0070C0"/>
        </w:rPr>
        <w:t xml:space="preserve">Climate database </w:t>
      </w:r>
    </w:p>
    <w:p w14:paraId="730C0823" w14:textId="26B0E3A0" w:rsidR="002528F4" w:rsidRPr="005C3289" w:rsidRDefault="002528F4" w:rsidP="00BD253E">
      <w:pPr>
        <w:pStyle w:val="Default"/>
        <w:spacing w:before="120" w:after="120"/>
        <w:jc w:val="both"/>
        <w:rPr>
          <w:rStyle w:val="None"/>
          <w:rFonts w:ascii="Times New Roman" w:hAnsi="Times New Roman" w:cs="Times New Roman"/>
        </w:rPr>
      </w:pPr>
      <w:r w:rsidRPr="005C3289">
        <w:rPr>
          <w:rStyle w:val="None"/>
          <w:rFonts w:ascii="Times New Roman" w:hAnsi="Times New Roman" w:cs="Times New Roman"/>
        </w:rPr>
        <w:lastRenderedPageBreak/>
        <w:t xml:space="preserve">Detailed data on climate-related finance commitments reported under the Rio marker approach and the climate components methodology is compiled in the OECD DAC </w:t>
      </w:r>
      <w:r w:rsidR="00956253" w:rsidRPr="005C3289">
        <w:rPr>
          <w:rStyle w:val="None"/>
          <w:rFonts w:ascii="Times New Roman" w:hAnsi="Times New Roman" w:cs="Times New Roman"/>
          <w:i/>
          <w:iCs/>
        </w:rPr>
        <w:t>Environmental</w:t>
      </w:r>
      <w:r w:rsidRPr="005C3289">
        <w:rPr>
          <w:rStyle w:val="None"/>
          <w:rFonts w:ascii="Times New Roman" w:hAnsi="Times New Roman" w:cs="Times New Roman"/>
          <w:i/>
          <w:iCs/>
        </w:rPr>
        <w:t xml:space="preserve"> Development Finance Statistics </w:t>
      </w:r>
      <w:r w:rsidRPr="005C3289">
        <w:rPr>
          <w:rStyle w:val="None"/>
          <w:rFonts w:ascii="Times New Roman" w:hAnsi="Times New Roman" w:cs="Times New Roman"/>
        </w:rPr>
        <w:t xml:space="preserve">database and made publicly available at </w:t>
      </w:r>
      <w:hyperlink r:id="rId14" w:history="1">
        <w:r w:rsidRPr="005C3289">
          <w:rPr>
            <w:rStyle w:val="Hyperlink3"/>
            <w:rFonts w:eastAsia="Helvetica Neue"/>
            <w:sz w:val="24"/>
            <w:szCs w:val="24"/>
          </w:rPr>
          <w:t>http://www.oecd.org/dac/financing-sustainable-development/development-finance-topics/climate-change.htm</w:t>
        </w:r>
      </w:hyperlink>
      <w:r w:rsidRPr="005C3289">
        <w:rPr>
          <w:rStyle w:val="None"/>
          <w:rFonts w:ascii="Times New Roman" w:hAnsi="Times New Roman" w:cs="Times New Roman"/>
        </w:rPr>
        <w:t xml:space="preserve">  under the link ‘Climate-related development finance at the activity level’.</w:t>
      </w:r>
    </w:p>
    <w:p w14:paraId="24249AE8" w14:textId="77777777" w:rsidR="00327459" w:rsidRPr="005C3289" w:rsidRDefault="002528F4" w:rsidP="00BD253E">
      <w:pPr>
        <w:pStyle w:val="Default"/>
        <w:spacing w:before="120" w:after="120"/>
        <w:jc w:val="both"/>
        <w:rPr>
          <w:rStyle w:val="None"/>
          <w:rFonts w:ascii="Times New Roman" w:hAnsi="Times New Roman" w:cs="Times New Roman"/>
        </w:rPr>
      </w:pPr>
      <w:r w:rsidRPr="005C3289">
        <w:rPr>
          <w:rStyle w:val="None"/>
          <w:rFonts w:ascii="Times New Roman" w:hAnsi="Times New Roman" w:cs="Times New Roman"/>
        </w:rPr>
        <w:t xml:space="preserve">The OECD provides data in two different perspectives, the </w:t>
      </w:r>
      <w:proofErr w:type="gramStart"/>
      <w:r w:rsidRPr="005C3289">
        <w:rPr>
          <w:rStyle w:val="None"/>
          <w:rFonts w:ascii="Times New Roman" w:hAnsi="Times New Roman" w:cs="Times New Roman"/>
        </w:rPr>
        <w:t>recipient</w:t>
      </w:r>
      <w:proofErr w:type="gramEnd"/>
      <w:r w:rsidRPr="005C3289">
        <w:rPr>
          <w:rStyle w:val="None"/>
          <w:rFonts w:ascii="Times New Roman" w:hAnsi="Times New Roman" w:cs="Times New Roman"/>
        </w:rPr>
        <w:t xml:space="preserve"> and the provider perspective. The present analysis is based on data presented in the </w:t>
      </w:r>
      <w:r w:rsidRPr="005C3289">
        <w:rPr>
          <w:rStyle w:val="None"/>
          <w:rFonts w:ascii="Times New Roman" w:hAnsi="Times New Roman" w:cs="Times New Roman"/>
          <w:b/>
          <w:bCs/>
        </w:rPr>
        <w:t>recipient perspective</w:t>
      </w:r>
      <w:r w:rsidR="00282C3E" w:rsidRPr="005C3289">
        <w:rPr>
          <w:rStyle w:val="None"/>
          <w:rFonts w:ascii="Times New Roman" w:hAnsi="Times New Roman" w:cs="Times New Roman"/>
        </w:rPr>
        <w:t xml:space="preserve">, </w:t>
      </w:r>
      <w:proofErr w:type="gramStart"/>
      <w:r w:rsidR="00282C3E" w:rsidRPr="005C3289">
        <w:rPr>
          <w:rStyle w:val="None"/>
          <w:rFonts w:ascii="Times New Roman" w:hAnsi="Times New Roman" w:cs="Times New Roman"/>
        </w:rPr>
        <w:t>in order to</w:t>
      </w:r>
      <w:proofErr w:type="gramEnd"/>
      <w:r w:rsidR="00282C3E" w:rsidRPr="005C3289">
        <w:rPr>
          <w:rStyle w:val="None"/>
          <w:rFonts w:ascii="Times New Roman" w:hAnsi="Times New Roman" w:cs="Times New Roman"/>
        </w:rPr>
        <w:t xml:space="preserve"> capture and represent the funding decisions that are governed by the MDBs in-country</w:t>
      </w:r>
      <w:r w:rsidR="00327459" w:rsidRPr="005C3289">
        <w:rPr>
          <w:rStyle w:val="None"/>
          <w:rFonts w:ascii="Times New Roman" w:hAnsi="Times New Roman" w:cs="Times New Roman"/>
        </w:rPr>
        <w:t xml:space="preserve"> (as requested in the TOR)</w:t>
      </w:r>
      <w:r w:rsidRPr="005C3289">
        <w:rPr>
          <w:rStyle w:val="None"/>
          <w:rFonts w:ascii="Times New Roman" w:hAnsi="Times New Roman" w:cs="Times New Roman"/>
        </w:rPr>
        <w:t xml:space="preserve">. </w:t>
      </w:r>
    </w:p>
    <w:p w14:paraId="2FA10C8B" w14:textId="0377C09B" w:rsidR="002528F4" w:rsidRPr="005C3289" w:rsidRDefault="002528F4" w:rsidP="00BD253E">
      <w:pPr>
        <w:pStyle w:val="Default"/>
        <w:spacing w:before="120" w:after="120"/>
        <w:jc w:val="both"/>
        <w:rPr>
          <w:rStyle w:val="None"/>
          <w:rFonts w:ascii="Times New Roman" w:hAnsi="Times New Roman" w:cs="Times New Roman"/>
        </w:rPr>
      </w:pPr>
      <w:r w:rsidRPr="005C3289">
        <w:rPr>
          <w:rStyle w:val="None"/>
          <w:rFonts w:ascii="Times New Roman" w:hAnsi="Times New Roman" w:cs="Times New Roman"/>
        </w:rPr>
        <w:t xml:space="preserve">Data for this analysis were downloaded on </w:t>
      </w:r>
      <w:r w:rsidR="00723680" w:rsidRPr="005C3289">
        <w:rPr>
          <w:rStyle w:val="None"/>
          <w:rFonts w:ascii="Times New Roman" w:hAnsi="Times New Roman" w:cs="Times New Roman"/>
        </w:rPr>
        <w:t>1</w:t>
      </w:r>
      <w:r w:rsidRPr="005C3289">
        <w:rPr>
          <w:rStyle w:val="None"/>
          <w:rFonts w:ascii="Times New Roman" w:hAnsi="Times New Roman" w:cs="Times New Roman"/>
        </w:rPr>
        <w:t xml:space="preserve">1 </w:t>
      </w:r>
      <w:proofErr w:type="gramStart"/>
      <w:r w:rsidR="00723680" w:rsidRPr="005C3289">
        <w:rPr>
          <w:rStyle w:val="None"/>
          <w:rFonts w:ascii="Times New Roman" w:hAnsi="Times New Roman" w:cs="Times New Roman"/>
        </w:rPr>
        <w:t>May</w:t>
      </w:r>
      <w:r w:rsidRPr="005C3289">
        <w:rPr>
          <w:rStyle w:val="None"/>
          <w:rFonts w:ascii="Times New Roman" w:hAnsi="Times New Roman" w:cs="Times New Roman"/>
        </w:rPr>
        <w:t>,</w:t>
      </w:r>
      <w:proofErr w:type="gramEnd"/>
      <w:r w:rsidRPr="005C3289">
        <w:rPr>
          <w:rStyle w:val="None"/>
          <w:rFonts w:ascii="Times New Roman" w:hAnsi="Times New Roman" w:cs="Times New Roman"/>
        </w:rPr>
        <w:t xml:space="preserve"> 202</w:t>
      </w:r>
      <w:r w:rsidR="00723680" w:rsidRPr="005C3289">
        <w:rPr>
          <w:rStyle w:val="None"/>
          <w:rFonts w:ascii="Times New Roman" w:hAnsi="Times New Roman" w:cs="Times New Roman"/>
        </w:rPr>
        <w:t>1</w:t>
      </w:r>
      <w:r w:rsidRPr="005C3289">
        <w:rPr>
          <w:rStyle w:val="None"/>
          <w:rFonts w:ascii="Times New Roman" w:hAnsi="Times New Roman" w:cs="Times New Roman"/>
        </w:rPr>
        <w:t xml:space="preserve"> and accessed in Microsoft Excel format. </w:t>
      </w:r>
    </w:p>
    <w:p w14:paraId="3269F756" w14:textId="3AED37AB" w:rsidR="003128AD" w:rsidRPr="005C3289" w:rsidRDefault="002528F4" w:rsidP="003128AD">
      <w:pPr>
        <w:pStyle w:val="Default"/>
        <w:spacing w:before="120" w:after="120"/>
        <w:jc w:val="both"/>
        <w:rPr>
          <w:rStyle w:val="None"/>
          <w:rFonts w:ascii="Times New Roman" w:hAnsi="Times New Roman" w:cs="Times New Roman"/>
        </w:rPr>
      </w:pPr>
      <w:r w:rsidRPr="005C3289">
        <w:rPr>
          <w:rStyle w:val="None"/>
          <w:rFonts w:ascii="Times New Roman" w:hAnsi="Times New Roman" w:cs="Times New Roman"/>
        </w:rPr>
        <w:t xml:space="preserve">For each transaction (individual row), the database includes a wide range of information types, such as the funder (country if bilaterally </w:t>
      </w:r>
      <w:proofErr w:type="spellStart"/>
      <w:r w:rsidRPr="005C3289">
        <w:rPr>
          <w:rStyle w:val="None"/>
          <w:rFonts w:ascii="Times New Roman" w:hAnsi="Times New Roman" w:cs="Times New Roman"/>
        </w:rPr>
        <w:t>channelled</w:t>
      </w:r>
      <w:proofErr w:type="spellEnd"/>
      <w:r w:rsidRPr="005C3289">
        <w:rPr>
          <w:rStyle w:val="None"/>
          <w:rFonts w:ascii="Times New Roman" w:hAnsi="Times New Roman" w:cs="Times New Roman"/>
        </w:rPr>
        <w:t xml:space="preserve">, or institution if multilaterally </w:t>
      </w:r>
      <w:proofErr w:type="spellStart"/>
      <w:r w:rsidRPr="005C3289">
        <w:rPr>
          <w:rStyle w:val="None"/>
          <w:rFonts w:ascii="Times New Roman" w:hAnsi="Times New Roman" w:cs="Times New Roman"/>
        </w:rPr>
        <w:t>channelled</w:t>
      </w:r>
      <w:proofErr w:type="spellEnd"/>
      <w:r w:rsidRPr="005C3289">
        <w:rPr>
          <w:rStyle w:val="None"/>
          <w:rFonts w:ascii="Times New Roman" w:hAnsi="Times New Roman" w:cs="Times New Roman"/>
        </w:rPr>
        <w:t xml:space="preserve">), the recipient country or region, commitment amounts (in US$, both in current amounts and in constant amounts whereby inflation and exchange rate variations are taken into account by deflating to a consistent year, 2017), the main sector and sub-sector targeted, and the financial instrument (grant, concessional or non-concessional loan, equity, </w:t>
      </w:r>
      <w:proofErr w:type="spellStart"/>
      <w:r w:rsidRPr="005C3289">
        <w:rPr>
          <w:rStyle w:val="None"/>
          <w:rFonts w:ascii="Times New Roman" w:hAnsi="Times New Roman" w:cs="Times New Roman"/>
        </w:rPr>
        <w:t>etc</w:t>
      </w:r>
      <w:proofErr w:type="spellEnd"/>
      <w:r w:rsidRPr="005C3289">
        <w:rPr>
          <w:rStyle w:val="None"/>
          <w:rFonts w:ascii="Times New Roman" w:hAnsi="Times New Roman" w:cs="Times New Roman"/>
        </w:rPr>
        <w:t>). The methodology used</w:t>
      </w:r>
      <w:r w:rsidR="00327459" w:rsidRPr="005C3289">
        <w:rPr>
          <w:rStyle w:val="None"/>
          <w:rFonts w:ascii="Times New Roman" w:hAnsi="Times New Roman" w:cs="Times New Roman"/>
        </w:rPr>
        <w:t xml:space="preserve"> for tagging climate change as an objective</w:t>
      </w:r>
      <w:r w:rsidRPr="005C3289">
        <w:rPr>
          <w:rStyle w:val="None"/>
          <w:rFonts w:ascii="Times New Roman" w:hAnsi="Times New Roman" w:cs="Times New Roman"/>
        </w:rPr>
        <w:t xml:space="preserve"> (Rio Marker or Climate Components) is also noted. </w:t>
      </w:r>
    </w:p>
    <w:p w14:paraId="2642759C" w14:textId="77777777" w:rsidR="003128AD" w:rsidRPr="005C3289" w:rsidRDefault="003128AD" w:rsidP="003128AD">
      <w:pPr>
        <w:pStyle w:val="Default"/>
        <w:spacing w:before="120" w:after="120"/>
        <w:jc w:val="both"/>
        <w:rPr>
          <w:rStyle w:val="None"/>
          <w:rFonts w:ascii="Times New Roman" w:eastAsia="Times New Roman" w:hAnsi="Times New Roman" w:cs="Times New Roman"/>
          <w:b/>
          <w:bCs/>
        </w:rPr>
      </w:pPr>
      <w:r w:rsidRPr="005C3289">
        <w:rPr>
          <w:rStyle w:val="None"/>
          <w:rFonts w:ascii="Times New Roman" w:hAnsi="Times New Roman" w:cs="Times New Roman"/>
          <w:b/>
          <w:bCs/>
          <w:color w:val="0070BF"/>
          <w:u w:color="0070BF"/>
        </w:rPr>
        <w:t xml:space="preserve">Data limitations </w:t>
      </w:r>
    </w:p>
    <w:p w14:paraId="5EA6B391" w14:textId="77777777" w:rsidR="003128AD" w:rsidRPr="005C3289" w:rsidRDefault="003128AD" w:rsidP="003128AD">
      <w:pPr>
        <w:pStyle w:val="Default"/>
        <w:spacing w:before="120" w:after="120"/>
        <w:jc w:val="both"/>
        <w:rPr>
          <w:rStyle w:val="None"/>
          <w:rFonts w:ascii="Times New Roman" w:eastAsia="Times New Roman" w:hAnsi="Times New Roman" w:cs="Times New Roman"/>
        </w:rPr>
      </w:pPr>
      <w:r w:rsidRPr="005C3289">
        <w:rPr>
          <w:rStyle w:val="None"/>
          <w:rFonts w:ascii="Times New Roman" w:hAnsi="Times New Roman" w:cs="Times New Roman"/>
        </w:rPr>
        <w:t xml:space="preserve">The OECD databases on development finance provide the most comprehensive and comparable data on international development finance for climate change. There are however some important limitations to acknowledge in relation to these primary data sources. </w:t>
      </w:r>
    </w:p>
    <w:p w14:paraId="3C43AFF9" w14:textId="52E2B485" w:rsidR="003128AD" w:rsidRPr="005C3289" w:rsidRDefault="003128AD" w:rsidP="003128AD">
      <w:pPr>
        <w:pStyle w:val="Default"/>
        <w:spacing w:before="120" w:after="120"/>
        <w:jc w:val="both"/>
        <w:rPr>
          <w:rStyle w:val="None"/>
          <w:rFonts w:ascii="Times New Roman" w:eastAsia="Times New Roman" w:hAnsi="Times New Roman" w:cs="Times New Roman"/>
        </w:rPr>
      </w:pPr>
      <w:r w:rsidRPr="005C3289">
        <w:rPr>
          <w:rStyle w:val="None"/>
          <w:rFonts w:ascii="Times New Roman" w:hAnsi="Times New Roman" w:cs="Times New Roman"/>
        </w:rPr>
        <w:t xml:space="preserve">First, the attribution of financial support to climate </w:t>
      </w:r>
      <w:r w:rsidR="00063EFD" w:rsidRPr="005C3289">
        <w:rPr>
          <w:rStyle w:val="None"/>
          <w:rFonts w:ascii="Times New Roman" w:hAnsi="Times New Roman" w:cs="Times New Roman"/>
        </w:rPr>
        <w:t>change</w:t>
      </w:r>
      <w:r w:rsidRPr="005C3289">
        <w:rPr>
          <w:rStyle w:val="None"/>
          <w:rFonts w:ascii="Times New Roman" w:hAnsi="Times New Roman" w:cs="Times New Roman"/>
        </w:rPr>
        <w:t xml:space="preserve"> objectives is subjective. This judgement is made by the funders and is not independently verified. A number of studies argue that the self-reporting of donors and the lack of independent quality control results in low data reliability and sometimes significant overestimations of finance flows identified with the use of Rio markers </w:t>
      </w:r>
      <w:r w:rsidRPr="005C3289">
        <w:rPr>
          <w:rStyle w:val="None"/>
          <w:rFonts w:ascii="Times New Roman" w:hAnsi="Times New Roman" w:cs="Times New Roman"/>
        </w:rPr>
        <w:fldChar w:fldCharType="begin"/>
      </w:r>
      <w:r w:rsidRPr="005C3289">
        <w:rPr>
          <w:rStyle w:val="None"/>
          <w:rFonts w:ascii="Times New Roman" w:hAnsi="Times New Roman" w:cs="Times New Roman"/>
        </w:rPr>
        <w:instrText xml:space="preserve"> ADDIN ZOTERO_ITEM CSL_CITATION {"citationID":"XvG0O4ZE","properties":{"formattedCitation":"(Weikmans et al. 2017; Michaelowa and Michaelowa 2011; AdaptationWatch 2015; Junghans and Harmeling 2012)","plainCitation":"(Weikmans et al. 2017; Michaelowa and Michaelowa 2011; AdaptationWatch 2015; Junghans and Harmeling 2012)","noteIndex":0},"citationItems":[{"id":9,"uris":["http://zotero.org/users/797665/items/75SHXPUM"],"uri":["http://zotero.org/users/797665/items/75SHXPUM"],"itemData":{"id":9,"type":"article-journal","abstract":"This article presents the findings of a re-evaluation of all 5,200 aid projects that OECD donors reported for 2012 as “climate change adaptation”related, based on the “Rio marker” classification system. The findings confirm those from the academic and grey literature that the absence of independent quality control makes the adaptation Rio marker data almost entirely unreliable. This lack of credibility impedes meaningful assessments of progress toward the mainstreaming of adaptation in development cooperation activities. It also erodes trust in international climate negotiations, given that these data are frequently used in the financial reporting of developed countries to the UNFCCC.","container-title":"Development in Practice","DOI":"10.1080/09614524.2017.1307325","ISSN":"0961-4524, 1364-9213","issue":"4","language":"en","page":"458-471","source":"Crossref","title":"Assessing the credibility of how climate adaptation aid projects are categorised","volume":"27","author":[{"family":"Weikmans","given":"Romain"},{"family":"Timmons Roberts","given":"J."},{"family":"Baum","given":"Jeffrey"},{"family":"Bustos","given":"Maria Camila"},{"family":"Durand","given":"Alexis"}],"issued":{"date-parts":[["2017",5,19]]}}},{"id":12,"uris":["http://zotero.org/users/797665/items/TFJP5UNF"],"uri":["http://zotero.org/users/797665/items/TFJP5UNF"],"itemData":{"id":12,"type":"article-journal","abstract":"To beneﬁt from a wide-spread public support for climate policy, aid agencies strive to show the climate relevance of their development activities. Using project-level aid data and country-level political data for 21 DAC donors from 1995 to 2007, we test whether this may lead to politically motivated misreporting. Through keyword search in individual project descriptions and complementary hand-coding we assess all aid activities for their actual climate change-related content, and thereby construct our most relevant control variables. Econometric results reveal that indeed, project coding is inﬂuenced systematically by the donor governments’ ideological orientation as well as by national voters’ environmental preferences.","container-title":"World Development","DOI":"10.1016/j.worlddev.2011.07.020","ISSN":"0305750X","issue":"11","language":"en","page":"2010-2020","source":"Crossref","title":"Coding Error or Statistical Embellishment? The Political Economy of Reporting Climate Aid","title-short":"Coding Error or Statistical Embellishment?","volume":"39","author":[{"family":"Michaelowa","given":"Axel"},{"family":"Michaelowa","given":"Katharina"}],"issued":{"date-parts":[["2011",11]]}}},{"id":190,"uris":["http://zotero.org/users/797665/items/THME42NX"],"uri":["http://zotero.org/users/797665/items/THME42NX"],"itemData":{"id":190,"type":"report","genre":"Policy Briefing","title":"Toward Mutual  Accountability: The 2015 Adaptation Finance  Transparency Gap Report.","URL":"AdaptationWatch.org","author":[{"family":"AdaptationWatch","given":""}],"accessed":{"date-parts":[["2017",7,25]]},"issued":{"date-parts":[["2015"]]}}},{"id":191,"uris":["http://zotero.org/users/797665/items/R5NGNMHD"],"uri":["http://zotero.org/users/797665/items/R5NGNMHD"],"itemData":{"id":191,"type":"report","genre":"Briefing Paper","publisher":"Germanwatch","title":"Different tales from different countries: A first assessment of the \"adaptation marker\"","URL":"http://germanwatch.org/fr/download/7083.pdf","author":[{"family":"Junghans","given":"Lisa"},{"family":"Harmeling","given":"Sven"}],"accessed":{"date-parts":[["2017",7,25]]},"issued":{"date-parts":[["2012",9]]}}}],"schema":"https://github.com/citation-style-language/schema/raw/master/csl-citation.json"} </w:instrText>
      </w:r>
      <w:r w:rsidRPr="005C3289">
        <w:rPr>
          <w:rStyle w:val="None"/>
          <w:rFonts w:ascii="Times New Roman" w:hAnsi="Times New Roman" w:cs="Times New Roman"/>
        </w:rPr>
        <w:fldChar w:fldCharType="separate"/>
      </w:r>
      <w:r w:rsidRPr="005C3289">
        <w:rPr>
          <w:rStyle w:val="None"/>
          <w:rFonts w:ascii="Times New Roman" w:hAnsi="Times New Roman" w:cs="Times New Roman"/>
          <w:noProof/>
        </w:rPr>
        <w:t>(Weikmans et al. 2017; Michaelowa and Michaelowa 2011; AdaptationWatch 2015; Junghans and Harmeling 2012)</w:t>
      </w:r>
      <w:r w:rsidRPr="005C3289">
        <w:rPr>
          <w:rStyle w:val="None"/>
          <w:rFonts w:ascii="Times New Roman" w:hAnsi="Times New Roman" w:cs="Times New Roman"/>
        </w:rPr>
        <w:fldChar w:fldCharType="end"/>
      </w:r>
      <w:r w:rsidRPr="005C3289">
        <w:rPr>
          <w:rStyle w:val="None"/>
          <w:rFonts w:ascii="Times New Roman" w:hAnsi="Times New Roman" w:cs="Times New Roman"/>
        </w:rPr>
        <w:t xml:space="preserve">. According to </w:t>
      </w:r>
      <w:proofErr w:type="spellStart"/>
      <w:r w:rsidRPr="005C3289">
        <w:rPr>
          <w:rStyle w:val="None"/>
          <w:rFonts w:ascii="Times New Roman" w:hAnsi="Times New Roman" w:cs="Times New Roman"/>
        </w:rPr>
        <w:t>Weiler</w:t>
      </w:r>
      <w:proofErr w:type="spellEnd"/>
      <w:r w:rsidRPr="005C3289">
        <w:rPr>
          <w:rStyle w:val="None"/>
          <w:rFonts w:ascii="Times New Roman" w:hAnsi="Times New Roman" w:cs="Times New Roman"/>
        </w:rPr>
        <w:t xml:space="preserve"> et al </w:t>
      </w:r>
      <w:r w:rsidRPr="005C3289">
        <w:rPr>
          <w:rStyle w:val="None"/>
          <w:rFonts w:ascii="Times New Roman" w:hAnsi="Times New Roman" w:cs="Times New Roman"/>
        </w:rPr>
        <w:fldChar w:fldCharType="begin"/>
      </w:r>
      <w:r w:rsidRPr="005C3289">
        <w:rPr>
          <w:rStyle w:val="None"/>
          <w:rFonts w:ascii="Times New Roman" w:hAnsi="Times New Roman" w:cs="Times New Roman"/>
        </w:rPr>
        <w:instrText xml:space="preserve"> ADDIN ZOTERO_ITEM CSL_CITATION {"citationID":"ngix5b8r","properties":{"formattedCitation":"(2018)","plainCitation":"(2018)","noteIndex":0},"citationItems":[{"id":2,"uris":["http://zotero.org/users/797665/items/WI4U9VEA"],"uri":["http://zotero.org/users/797665/items/WI4U9VEA"],"itemData":{"id":2,"type":"article-journal","abstract":"Developed countries provide increasing amounts of aid to assist developing countries adapt to the impacts of climate change. How do they distribute this aid? While donors agreed to prioritise ‘‘particularly vulnerable” countries, we know from the general aid allocation literature that donors (also) use aid as a foreign policy tool to promote their own economic and political goals. In this paper, we analyse data on bilateral adaptation aid from 2010 through 2015 to assess to what extent adaptation aid is provided in response to recipient need (that is, vulnerability to climate change impacts) as opposed to recipient merit (that is, good governance) and donors’ interests. In contrast to previous research, we ﬁnd that donors partly take into account vulnerability to climate change. Countries that are physically more exposed to climate change tend to be more likely to receive some adaptation aid and also receive more adaptation aid per capita, as do poorer countries, small island developing states and—to a lesser extent—least developed countries. Countries with lower adaptive capacity, however, do not receive more adaptation aid; instead, donors reward well-governed countries with adaptation aid as well as use adaptation aid to promote their own economic interests. Furthermore, adaptation aid ﬂows very closely follow general development aid ﬂows. The extent to which adaptation aid is new and additional thus remains unclear.","container-title":"World Development","DOI":"10.1016/j.worlddev.2017.11.001","ISSN":"0305750X","language":"en","page":"65-77","source":"Crossref","title":"Vulnerability, good governance, or donor interests? The allocation of aid for climate change adaptation","title-short":"Vulnerability, good governance, or donor interests?","volume":"104","author":[{"family":"Weiler","given":"Florian"},{"family":"Klöck","given":"Carola"},{"family":"Dornan","given":"Matthew"}],"issued":{"date-parts":[["2018",4]]}},"suppress-author":true}],"schema":"https://github.com/citation-style-language/schema/raw/master/csl-citation.json"} </w:instrText>
      </w:r>
      <w:r w:rsidRPr="005C3289">
        <w:rPr>
          <w:rStyle w:val="None"/>
          <w:rFonts w:ascii="Times New Roman" w:hAnsi="Times New Roman" w:cs="Times New Roman"/>
        </w:rPr>
        <w:fldChar w:fldCharType="separate"/>
      </w:r>
      <w:r w:rsidRPr="005C3289">
        <w:rPr>
          <w:rStyle w:val="None"/>
          <w:rFonts w:ascii="Times New Roman" w:hAnsi="Times New Roman" w:cs="Times New Roman"/>
          <w:noProof/>
        </w:rPr>
        <w:t>(2018)</w:t>
      </w:r>
      <w:r w:rsidRPr="005C3289">
        <w:rPr>
          <w:rStyle w:val="None"/>
          <w:rFonts w:ascii="Times New Roman" w:hAnsi="Times New Roman" w:cs="Times New Roman"/>
        </w:rPr>
        <w:fldChar w:fldCharType="end"/>
      </w:r>
      <w:r w:rsidRPr="005C3289">
        <w:rPr>
          <w:rStyle w:val="None"/>
          <w:rFonts w:ascii="Times New Roman" w:hAnsi="Times New Roman" w:cs="Times New Roman"/>
          <w:position w:val="20"/>
        </w:rPr>
        <w:t xml:space="preserve"> </w:t>
      </w:r>
      <w:r w:rsidRPr="005C3289">
        <w:rPr>
          <w:rStyle w:val="None"/>
          <w:rFonts w:ascii="Times New Roman" w:hAnsi="Times New Roman" w:cs="Times New Roman"/>
        </w:rPr>
        <w:t xml:space="preserve">over-reporting seems less prevalent for commitments tagged as principally targeting adaptation when compared with those significantly targeting adaptation; for this reason, for transactions tagged with the Rio Markers the analysis here includes only those that principally target </w:t>
      </w:r>
      <w:r w:rsidR="000A6B0E" w:rsidRPr="005C3289">
        <w:rPr>
          <w:rStyle w:val="None"/>
          <w:rFonts w:ascii="Times New Roman" w:hAnsi="Times New Roman" w:cs="Times New Roman"/>
        </w:rPr>
        <w:t xml:space="preserve">mitigation of climate change. </w:t>
      </w:r>
      <w:r w:rsidRPr="005C3289">
        <w:rPr>
          <w:rStyle w:val="None"/>
          <w:rFonts w:ascii="Times New Roman" w:hAnsi="Times New Roman" w:cs="Times New Roman"/>
        </w:rPr>
        <w:t xml:space="preserve"> </w:t>
      </w:r>
    </w:p>
    <w:p w14:paraId="0BC2A553" w14:textId="77777777" w:rsidR="003128AD" w:rsidRPr="005C3289" w:rsidRDefault="003128AD" w:rsidP="003128AD">
      <w:pPr>
        <w:pStyle w:val="Default"/>
        <w:spacing w:before="120" w:after="120"/>
        <w:jc w:val="both"/>
        <w:rPr>
          <w:rStyle w:val="None"/>
          <w:rFonts w:ascii="Times New Roman" w:eastAsia="Times New Roman" w:hAnsi="Times New Roman" w:cs="Times New Roman"/>
        </w:rPr>
      </w:pPr>
      <w:r w:rsidRPr="005C3289">
        <w:rPr>
          <w:rStyle w:val="None"/>
          <w:rFonts w:ascii="Times New Roman" w:hAnsi="Times New Roman" w:cs="Times New Roman"/>
        </w:rPr>
        <w:t xml:space="preserve">Second, the </w:t>
      </w:r>
      <w:proofErr w:type="spellStart"/>
      <w:r w:rsidRPr="005C3289">
        <w:rPr>
          <w:rStyle w:val="None"/>
          <w:rFonts w:ascii="Times New Roman" w:hAnsi="Times New Roman" w:cs="Times New Roman"/>
        </w:rPr>
        <w:t>rigour</w:t>
      </w:r>
      <w:proofErr w:type="spellEnd"/>
      <w:r w:rsidRPr="005C3289">
        <w:rPr>
          <w:rStyle w:val="None"/>
          <w:rFonts w:ascii="Times New Roman" w:hAnsi="Times New Roman" w:cs="Times New Roman"/>
        </w:rPr>
        <w:t xml:space="preserve"> and level of disaggregation used by funders when reporting data to the OECD varies, and can introduce errors. </w:t>
      </w:r>
    </w:p>
    <w:p w14:paraId="2B1E0D33" w14:textId="5C2DABD5" w:rsidR="003128AD" w:rsidRPr="005C3289" w:rsidRDefault="003128AD" w:rsidP="003128AD">
      <w:pPr>
        <w:pStyle w:val="Default"/>
        <w:spacing w:before="120" w:after="120"/>
        <w:jc w:val="both"/>
        <w:rPr>
          <w:rFonts w:ascii="Times New Roman" w:eastAsia="Times New Roman" w:hAnsi="Times New Roman" w:cs="Times New Roman"/>
        </w:rPr>
      </w:pPr>
      <w:r w:rsidRPr="005C3289">
        <w:rPr>
          <w:rStyle w:val="None"/>
          <w:rFonts w:ascii="Times New Roman" w:hAnsi="Times New Roman" w:cs="Times New Roman"/>
        </w:rPr>
        <w:t xml:space="preserve">Finally, not all development finance transactions are screened against the Rio Markers for climate change mitigation, which means there may be relevant finance flows that are not captured in the dataset used for this analysis. In general, most financial support is screened so the omission of relevant flows here seems likely to be relatively low. </w:t>
      </w:r>
    </w:p>
    <w:p w14:paraId="36890BD6" w14:textId="77777777" w:rsidR="003262F1" w:rsidRPr="005C3289" w:rsidRDefault="003262F1" w:rsidP="003262F1">
      <w:pPr>
        <w:pStyle w:val="BodyA"/>
        <w:jc w:val="both"/>
        <w:rPr>
          <w:rFonts w:ascii="Times New Roman" w:hAnsi="Times New Roman" w:cs="Times New Roman"/>
          <w:b/>
          <w:bCs/>
          <w:color w:val="0070C0"/>
          <w:sz w:val="24"/>
          <w:szCs w:val="24"/>
        </w:rPr>
      </w:pPr>
      <w:r w:rsidRPr="005C3289">
        <w:rPr>
          <w:rStyle w:val="None"/>
          <w:rFonts w:ascii="Times New Roman" w:hAnsi="Times New Roman" w:cs="Times New Roman"/>
          <w:b/>
          <w:bCs/>
          <w:color w:val="0070C0"/>
          <w:sz w:val="24"/>
          <w:szCs w:val="24"/>
        </w:rPr>
        <w:t>Which amounts to use?</w:t>
      </w:r>
    </w:p>
    <w:p w14:paraId="4297EBB5" w14:textId="54E72046" w:rsidR="003262F1" w:rsidRPr="005C3289" w:rsidRDefault="003262F1" w:rsidP="003262F1">
      <w:pPr>
        <w:pStyle w:val="BodyA"/>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The dataset provides financial amounts in two ways</w:t>
      </w:r>
      <w:r w:rsidR="00C67619" w:rsidRPr="005C3289">
        <w:rPr>
          <w:rStyle w:val="None"/>
          <w:rFonts w:ascii="Times New Roman" w:hAnsi="Times New Roman" w:cs="Times New Roman"/>
          <w:sz w:val="24"/>
          <w:szCs w:val="24"/>
        </w:rPr>
        <w:t>: A</w:t>
      </w:r>
      <w:r w:rsidRPr="005C3289">
        <w:rPr>
          <w:rStyle w:val="None"/>
          <w:rFonts w:ascii="Times New Roman" w:hAnsi="Times New Roman" w:cs="Times New Roman"/>
          <w:sz w:val="24"/>
          <w:szCs w:val="24"/>
        </w:rPr>
        <w:t xml:space="preserve">s </w:t>
      </w:r>
      <w:r w:rsidRPr="005C3289">
        <w:rPr>
          <w:rStyle w:val="None"/>
          <w:rFonts w:ascii="Times New Roman" w:hAnsi="Times New Roman" w:cs="Times New Roman"/>
          <w:i/>
          <w:iCs/>
          <w:sz w:val="24"/>
          <w:szCs w:val="24"/>
        </w:rPr>
        <w:t>current</w:t>
      </w:r>
      <w:r w:rsidRPr="005C3289">
        <w:rPr>
          <w:rStyle w:val="None"/>
          <w:rFonts w:ascii="Times New Roman" w:hAnsi="Times New Roman" w:cs="Times New Roman"/>
          <w:sz w:val="24"/>
          <w:szCs w:val="24"/>
        </w:rPr>
        <w:t xml:space="preserve"> prices (</w:t>
      </w:r>
      <w:proofErr w:type="gramStart"/>
      <w:r w:rsidRPr="005C3289">
        <w:rPr>
          <w:rStyle w:val="None"/>
          <w:rFonts w:ascii="Times New Roman" w:hAnsi="Times New Roman" w:cs="Times New Roman"/>
          <w:sz w:val="24"/>
          <w:szCs w:val="24"/>
        </w:rPr>
        <w:t>i.e.</w:t>
      </w:r>
      <w:proofErr w:type="gramEnd"/>
      <w:r w:rsidRPr="005C3289">
        <w:rPr>
          <w:rStyle w:val="None"/>
          <w:rFonts w:ascii="Times New Roman" w:hAnsi="Times New Roman" w:cs="Times New Roman"/>
          <w:sz w:val="24"/>
          <w:szCs w:val="24"/>
        </w:rPr>
        <w:t xml:space="preserve"> reflecting the amount at the exchange rate prevailing in the year in which it was reported)</w:t>
      </w:r>
      <w:r w:rsidR="00C67619" w:rsidRPr="005C3289">
        <w:rPr>
          <w:rStyle w:val="None"/>
          <w:rFonts w:ascii="Times New Roman" w:hAnsi="Times New Roman" w:cs="Times New Roman"/>
          <w:sz w:val="24"/>
          <w:szCs w:val="24"/>
        </w:rPr>
        <w:t>,</w:t>
      </w:r>
      <w:r w:rsidRPr="005C3289">
        <w:rPr>
          <w:rStyle w:val="None"/>
          <w:rFonts w:ascii="Times New Roman" w:hAnsi="Times New Roman" w:cs="Times New Roman"/>
          <w:sz w:val="24"/>
          <w:szCs w:val="24"/>
        </w:rPr>
        <w:t xml:space="preserve"> and </w:t>
      </w:r>
      <w:r w:rsidRPr="005C3289">
        <w:rPr>
          <w:rStyle w:val="None"/>
          <w:rFonts w:ascii="Times New Roman" w:hAnsi="Times New Roman" w:cs="Times New Roman"/>
          <w:i/>
          <w:iCs/>
          <w:sz w:val="24"/>
          <w:szCs w:val="24"/>
        </w:rPr>
        <w:t xml:space="preserve">constant </w:t>
      </w:r>
      <w:r w:rsidRPr="005C3289">
        <w:rPr>
          <w:rStyle w:val="None"/>
          <w:rFonts w:ascii="Times New Roman" w:hAnsi="Times New Roman" w:cs="Times New Roman"/>
          <w:sz w:val="24"/>
          <w:szCs w:val="24"/>
        </w:rPr>
        <w:t xml:space="preserve">prices (i.e. the current values of each transaction or activity in the actual year it was reported are deflated by a factor that takes account of exchange rates and currency inflation between the year of the financial flow and the present). For constant amounts, the automatic conversion in the OECD's data is to the second-most recent year of the full data set. For this study the latest </w:t>
      </w:r>
      <w:r w:rsidRPr="005C3289">
        <w:rPr>
          <w:rStyle w:val="None"/>
          <w:rFonts w:ascii="Times New Roman" w:hAnsi="Times New Roman" w:cs="Times New Roman"/>
          <w:sz w:val="24"/>
          <w:szCs w:val="24"/>
        </w:rPr>
        <w:lastRenderedPageBreak/>
        <w:t xml:space="preserve">data available is from 2018, so the deflators convert all amounts in all years to </w:t>
      </w:r>
      <w:commentRangeStart w:id="1"/>
      <w:r w:rsidRPr="005C3289">
        <w:rPr>
          <w:rStyle w:val="None"/>
          <w:rFonts w:ascii="Times New Roman" w:hAnsi="Times New Roman" w:cs="Times New Roman"/>
          <w:sz w:val="24"/>
          <w:szCs w:val="24"/>
        </w:rPr>
        <w:t xml:space="preserve">2017 US dollars </w:t>
      </w:r>
      <w:commentRangeEnd w:id="1"/>
      <w:r w:rsidRPr="005C3289">
        <w:rPr>
          <w:rStyle w:val="CommentReference"/>
          <w:rFonts w:ascii="Times New Roman" w:hAnsi="Times New Roman" w:cs="Times New Roman"/>
          <w:color w:val="auto"/>
          <w:sz w:val="24"/>
          <w:szCs w:val="24"/>
          <w:lang w:eastAsia="en-US"/>
        </w:rPr>
        <w:commentReference w:id="1"/>
      </w:r>
      <w:r w:rsidRPr="005C3289">
        <w:rPr>
          <w:rStyle w:val="None"/>
          <w:rFonts w:ascii="Times New Roman" w:hAnsi="Times New Roman" w:cs="Times New Roman"/>
          <w:sz w:val="24"/>
          <w:szCs w:val="24"/>
        </w:rPr>
        <w:t>(see the OECD Development Assistance Committee</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sz w:val="24"/>
          <w:szCs w:val="24"/>
        </w:rPr>
        <w:t xml:space="preserve">s </w:t>
      </w:r>
      <w:hyperlink r:id="rId15" w:history="1">
        <w:r w:rsidRPr="005C3289">
          <w:rPr>
            <w:rStyle w:val="Hyperlink4"/>
            <w:rFonts w:ascii="Times New Roman" w:hAnsi="Times New Roman" w:cs="Times New Roman"/>
            <w:sz w:val="24"/>
            <w:szCs w:val="24"/>
          </w:rPr>
          <w:t>Information Note on the DAC Deflators</w:t>
        </w:r>
      </w:hyperlink>
      <w:r w:rsidRPr="005C3289">
        <w:rPr>
          <w:rStyle w:val="None"/>
          <w:rFonts w:ascii="Times New Roman" w:hAnsi="Times New Roman" w:cs="Times New Roman"/>
          <w:sz w:val="24"/>
          <w:szCs w:val="24"/>
        </w:rPr>
        <w:t xml:space="preserve"> for further explanation).</w:t>
      </w:r>
    </w:p>
    <w:p w14:paraId="593A45DC" w14:textId="1B41D9AA" w:rsidR="003262F1" w:rsidRPr="005C3289" w:rsidRDefault="00C67619" w:rsidP="003262F1">
      <w:pPr>
        <w:pStyle w:val="BodyA"/>
        <w:jc w:val="both"/>
        <w:rPr>
          <w:rStyle w:val="None"/>
          <w:rFonts w:ascii="Times New Roman" w:hAnsi="Times New Roman" w:cs="Times New Roman"/>
          <w:b/>
          <w:bCs/>
          <w:color w:val="0070BF"/>
          <w:sz w:val="24"/>
          <w:szCs w:val="24"/>
          <w:u w:color="0070BF"/>
        </w:rPr>
      </w:pPr>
      <w:r w:rsidRPr="005C3289">
        <w:rPr>
          <w:rStyle w:val="None"/>
          <w:rFonts w:ascii="Times New Roman" w:hAnsi="Times New Roman" w:cs="Times New Roman"/>
          <w:b/>
          <w:bCs/>
          <w:sz w:val="24"/>
          <w:szCs w:val="24"/>
        </w:rPr>
        <w:t xml:space="preserve">Our </w:t>
      </w:r>
      <w:r w:rsidR="003262F1" w:rsidRPr="005C3289">
        <w:rPr>
          <w:rStyle w:val="None"/>
          <w:rFonts w:ascii="Times New Roman" w:hAnsi="Times New Roman" w:cs="Times New Roman"/>
          <w:b/>
          <w:bCs/>
          <w:sz w:val="24"/>
          <w:szCs w:val="24"/>
        </w:rPr>
        <w:t xml:space="preserve">analysis uses the data for </w:t>
      </w:r>
      <w:r w:rsidR="003262F1" w:rsidRPr="005C3289">
        <w:rPr>
          <w:rStyle w:val="None"/>
          <w:rFonts w:ascii="Times New Roman" w:hAnsi="Times New Roman" w:cs="Times New Roman"/>
          <w:b/>
          <w:bCs/>
          <w:i/>
          <w:iCs/>
          <w:sz w:val="24"/>
          <w:szCs w:val="24"/>
        </w:rPr>
        <w:t>constant</w:t>
      </w:r>
      <w:r w:rsidR="003262F1" w:rsidRPr="005C3289">
        <w:rPr>
          <w:rStyle w:val="None"/>
          <w:rFonts w:ascii="Times New Roman" w:hAnsi="Times New Roman" w:cs="Times New Roman"/>
          <w:b/>
          <w:bCs/>
          <w:sz w:val="24"/>
          <w:szCs w:val="24"/>
        </w:rPr>
        <w:t xml:space="preserve"> prices</w:t>
      </w:r>
      <w:r w:rsidRPr="005C3289">
        <w:rPr>
          <w:rStyle w:val="None"/>
          <w:rFonts w:ascii="Times New Roman" w:hAnsi="Times New Roman" w:cs="Times New Roman"/>
          <w:b/>
          <w:bCs/>
          <w:sz w:val="24"/>
          <w:szCs w:val="24"/>
        </w:rPr>
        <w:t xml:space="preserve">, </w:t>
      </w:r>
      <w:r w:rsidRPr="005C3289">
        <w:rPr>
          <w:rStyle w:val="None"/>
          <w:rFonts w:ascii="Times New Roman" w:hAnsi="Times New Roman" w:cs="Times New Roman"/>
          <w:sz w:val="24"/>
          <w:szCs w:val="24"/>
        </w:rPr>
        <w:t>which</w:t>
      </w:r>
      <w:r w:rsidRPr="005C3289">
        <w:rPr>
          <w:rStyle w:val="None"/>
          <w:rFonts w:ascii="Times New Roman" w:hAnsi="Times New Roman" w:cs="Times New Roman"/>
          <w:b/>
          <w:bCs/>
          <w:sz w:val="24"/>
          <w:szCs w:val="24"/>
        </w:rPr>
        <w:t xml:space="preserve"> </w:t>
      </w:r>
      <w:r w:rsidR="003262F1" w:rsidRPr="005C3289">
        <w:rPr>
          <w:rStyle w:val="None"/>
          <w:rFonts w:ascii="Times New Roman" w:hAnsi="Times New Roman" w:cs="Times New Roman"/>
          <w:sz w:val="24"/>
          <w:szCs w:val="24"/>
        </w:rPr>
        <w:t xml:space="preserve">are shown in column S (adaptation), U (mitigation) and W (both adaptation and mitigation simultaneously). </w:t>
      </w:r>
      <w:r w:rsidRPr="005C3289">
        <w:rPr>
          <w:rStyle w:val="None"/>
          <w:rFonts w:ascii="Times New Roman" w:hAnsi="Times New Roman" w:cs="Times New Roman"/>
          <w:sz w:val="24"/>
          <w:szCs w:val="24"/>
        </w:rPr>
        <w:t xml:space="preserve">This follows OECD DAC recommendations for analyses of trends over multiple years </w:t>
      </w:r>
      <w:r w:rsidRPr="005C3289">
        <w:rPr>
          <w:rStyle w:val="None"/>
          <w:rFonts w:ascii="Times New Roman" w:hAnsi="Times New Roman" w:cs="Times New Roman"/>
          <w:sz w:val="24"/>
          <w:szCs w:val="24"/>
        </w:rPr>
        <w:fldChar w:fldCharType="begin"/>
      </w:r>
      <w:r w:rsidRPr="005C3289">
        <w:rPr>
          <w:rStyle w:val="None"/>
          <w:rFonts w:ascii="Times New Roman" w:hAnsi="Times New Roman" w:cs="Times New Roman"/>
          <w:sz w:val="24"/>
          <w:szCs w:val="24"/>
        </w:rPr>
        <w:instrText xml:space="preserve"> ADDIN ZOTERO_ITEM CSL_CITATION {"citationID":"uWSeUtek","properties":{"formattedCitation":"(OECD n.d.)","plainCitation":"(OECD n.d.)","noteIndex":0},"citationItems":[{"id":3,"uris":["http://zotero.org/users/797665/items/W9CIBVU7"],"uri":["http://zotero.org/users/797665/items/W9CIBVU7"],"itemData":{"id":3,"type":"webpage","language":"English","title":"Technical Guide to terms and data in the Creditor Reporting System (CRS) Aid Activities database","URL":"http://www.oecd.org/dac/stats/crsguide.htm","author":[{"family":"OECD","given":""}],"accessed":{"date-parts":[["2020",6,14]]}}}],"schema":"https://github.com/citation-style-language/schema/raw/master/csl-citation.json"} </w:instrText>
      </w:r>
      <w:r w:rsidRPr="005C3289">
        <w:rPr>
          <w:rStyle w:val="None"/>
          <w:rFonts w:ascii="Times New Roman" w:hAnsi="Times New Roman" w:cs="Times New Roman"/>
          <w:sz w:val="24"/>
          <w:szCs w:val="24"/>
        </w:rPr>
        <w:fldChar w:fldCharType="separate"/>
      </w:r>
      <w:r w:rsidRPr="005C3289">
        <w:rPr>
          <w:rStyle w:val="None"/>
          <w:rFonts w:ascii="Times New Roman" w:hAnsi="Times New Roman" w:cs="Times New Roman"/>
          <w:noProof/>
          <w:sz w:val="24"/>
          <w:szCs w:val="24"/>
        </w:rPr>
        <w:t>(OECD n.d.)</w:t>
      </w:r>
      <w:r w:rsidRPr="005C3289">
        <w:rPr>
          <w:rStyle w:val="None"/>
          <w:rFonts w:ascii="Times New Roman" w:hAnsi="Times New Roman" w:cs="Times New Roman"/>
          <w:sz w:val="24"/>
          <w:szCs w:val="24"/>
        </w:rPr>
        <w:fldChar w:fldCharType="end"/>
      </w:r>
      <w:r w:rsidRPr="005C3289">
        <w:rPr>
          <w:rStyle w:val="None"/>
          <w:rFonts w:ascii="Times New Roman" w:hAnsi="Times New Roman" w:cs="Times New Roman"/>
          <w:sz w:val="24"/>
          <w:szCs w:val="24"/>
        </w:rPr>
        <w:t>.</w:t>
      </w:r>
    </w:p>
    <w:p w14:paraId="2B74AFCD" w14:textId="77777777" w:rsidR="003262F1" w:rsidRPr="005C3289" w:rsidRDefault="003262F1" w:rsidP="00BD253E">
      <w:pPr>
        <w:pStyle w:val="Default"/>
        <w:spacing w:before="120" w:after="120"/>
        <w:jc w:val="both"/>
        <w:rPr>
          <w:rStyle w:val="None"/>
          <w:rFonts w:ascii="Times New Roman" w:hAnsi="Times New Roman" w:cs="Times New Roman"/>
        </w:rPr>
      </w:pPr>
    </w:p>
    <w:p w14:paraId="121B3CDA" w14:textId="47217DEC" w:rsidR="00584124" w:rsidRPr="005C3289" w:rsidRDefault="00584124" w:rsidP="0063287A">
      <w:pPr>
        <w:pStyle w:val="Heading2"/>
        <w:rPr>
          <w:rStyle w:val="None"/>
          <w:rFonts w:cs="Times New Roman"/>
          <w:sz w:val="24"/>
          <w:szCs w:val="24"/>
        </w:rPr>
      </w:pPr>
      <w:r w:rsidRPr="005C3289">
        <w:rPr>
          <w:rStyle w:val="None"/>
          <w:rFonts w:cs="Times New Roman"/>
          <w:sz w:val="24"/>
          <w:szCs w:val="24"/>
        </w:rPr>
        <w:t>Preparing the data</w:t>
      </w:r>
    </w:p>
    <w:p w14:paraId="3E7826B3" w14:textId="25DA7877" w:rsidR="00D0179D" w:rsidRPr="005C3289" w:rsidRDefault="002528F4" w:rsidP="00BD253E">
      <w:pPr>
        <w:pStyle w:val="BodyA"/>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 xml:space="preserve">Several steps were followed to prepare the data before calculating the </w:t>
      </w:r>
      <w:commentRangeStart w:id="2"/>
      <w:commentRangeStart w:id="3"/>
      <w:r w:rsidRPr="005C3289">
        <w:rPr>
          <w:rStyle w:val="None"/>
          <w:rFonts w:ascii="Times New Roman" w:hAnsi="Times New Roman" w:cs="Times New Roman"/>
          <w:i/>
          <w:iCs/>
          <w:sz w:val="24"/>
          <w:szCs w:val="24"/>
          <w:highlight w:val="yellow"/>
        </w:rPr>
        <w:t>commitment</w:t>
      </w:r>
      <w:commentRangeEnd w:id="2"/>
      <w:r w:rsidR="00527B7B" w:rsidRPr="005C3289">
        <w:rPr>
          <w:rStyle w:val="CommentReference"/>
          <w:rFonts w:ascii="Times New Roman" w:hAnsi="Times New Roman" w:cs="Times New Roman"/>
          <w:color w:val="auto"/>
          <w:sz w:val="24"/>
          <w:szCs w:val="24"/>
          <w:lang w:eastAsia="en-US"/>
        </w:rPr>
        <w:commentReference w:id="2"/>
      </w:r>
      <w:commentRangeEnd w:id="3"/>
      <w:r w:rsidR="002C176A">
        <w:rPr>
          <w:rStyle w:val="CommentReference"/>
          <w:rFonts w:ascii="Times New Roman" w:hAnsi="Times New Roman" w:cs="Times New Roman"/>
          <w:color w:val="auto"/>
          <w:lang w:eastAsia="en-US"/>
        </w:rPr>
        <w:commentReference w:id="3"/>
      </w:r>
      <w:r w:rsidRPr="005C3289">
        <w:rPr>
          <w:rStyle w:val="None"/>
          <w:rFonts w:ascii="Times New Roman" w:hAnsi="Times New Roman" w:cs="Times New Roman"/>
          <w:sz w:val="24"/>
          <w:szCs w:val="24"/>
        </w:rPr>
        <w:t xml:space="preserve"> amounts presented in this study</w:t>
      </w:r>
      <w:r w:rsidRPr="005C3289">
        <w:rPr>
          <w:rStyle w:val="None"/>
          <w:rFonts w:ascii="Times New Roman" w:hAnsi="Times New Roman" w:cs="Times New Roman"/>
          <w:i/>
          <w:iCs/>
          <w:sz w:val="24"/>
          <w:szCs w:val="24"/>
        </w:rPr>
        <w:t xml:space="preserve">. </w:t>
      </w:r>
      <w:r w:rsidRPr="005C3289">
        <w:rPr>
          <w:rStyle w:val="None"/>
          <w:rFonts w:ascii="Times New Roman" w:hAnsi="Times New Roman" w:cs="Times New Roman"/>
          <w:sz w:val="24"/>
          <w:szCs w:val="24"/>
        </w:rPr>
        <w:t>Initially, four spreadsheets were downloaded</w:t>
      </w:r>
      <w:r w:rsidR="00584124" w:rsidRPr="005C3289">
        <w:rPr>
          <w:rStyle w:val="None"/>
          <w:rFonts w:ascii="Times New Roman" w:hAnsi="Times New Roman" w:cs="Times New Roman"/>
          <w:sz w:val="24"/>
          <w:szCs w:val="24"/>
        </w:rPr>
        <w:t xml:space="preserve"> directly from the OECD site</w:t>
      </w:r>
      <w:r w:rsidR="00D7567A" w:rsidRPr="005C3289">
        <w:rPr>
          <w:rStyle w:val="None"/>
          <w:rFonts w:ascii="Times New Roman" w:hAnsi="Times New Roman" w:cs="Times New Roman"/>
          <w:sz w:val="24"/>
          <w:szCs w:val="24"/>
        </w:rPr>
        <w:t>: these are data sheets from the</w:t>
      </w:r>
      <w:r w:rsidR="00584124" w:rsidRPr="005C3289">
        <w:rPr>
          <w:rStyle w:val="None"/>
          <w:rFonts w:ascii="Times New Roman" w:hAnsi="Times New Roman" w:cs="Times New Roman"/>
          <w:sz w:val="24"/>
          <w:szCs w:val="24"/>
        </w:rPr>
        <w:t xml:space="preserve"> </w:t>
      </w:r>
      <w:r w:rsidR="00584124" w:rsidRPr="005C3289">
        <w:rPr>
          <w:rStyle w:val="None"/>
          <w:rFonts w:ascii="Times New Roman" w:hAnsi="Times New Roman" w:cs="Times New Roman"/>
          <w:i/>
          <w:iCs/>
          <w:sz w:val="24"/>
          <w:szCs w:val="24"/>
        </w:rPr>
        <w:t>recipient perspective</w:t>
      </w:r>
      <w:r w:rsidR="00584124" w:rsidRPr="005C3289">
        <w:rPr>
          <w:rStyle w:val="None"/>
          <w:rFonts w:ascii="Times New Roman" w:hAnsi="Times New Roman" w:cs="Times New Roman"/>
          <w:sz w:val="24"/>
          <w:szCs w:val="24"/>
        </w:rPr>
        <w:t>,</w:t>
      </w:r>
      <w:r w:rsidRPr="005C3289">
        <w:rPr>
          <w:rStyle w:val="None"/>
          <w:rFonts w:ascii="Times New Roman" w:hAnsi="Times New Roman" w:cs="Times New Roman"/>
          <w:sz w:val="24"/>
          <w:szCs w:val="24"/>
        </w:rPr>
        <w:t xml:space="preserve"> </w:t>
      </w:r>
      <w:r w:rsidR="00D7567A" w:rsidRPr="005C3289">
        <w:rPr>
          <w:rStyle w:val="None"/>
          <w:rFonts w:ascii="Times New Roman" w:hAnsi="Times New Roman" w:cs="Times New Roman"/>
          <w:sz w:val="24"/>
          <w:szCs w:val="24"/>
        </w:rPr>
        <w:t>and</w:t>
      </w:r>
      <w:r w:rsidRPr="005C3289">
        <w:rPr>
          <w:rStyle w:val="None"/>
          <w:rFonts w:ascii="Times New Roman" w:hAnsi="Times New Roman" w:cs="Times New Roman"/>
          <w:sz w:val="24"/>
          <w:szCs w:val="24"/>
        </w:rPr>
        <w:t xml:space="preserve"> cover the </w:t>
      </w:r>
      <w:r w:rsidR="00D7567A" w:rsidRPr="005C3289">
        <w:rPr>
          <w:rStyle w:val="None"/>
          <w:rFonts w:ascii="Times New Roman" w:hAnsi="Times New Roman" w:cs="Times New Roman"/>
          <w:sz w:val="24"/>
          <w:szCs w:val="24"/>
        </w:rPr>
        <w:t xml:space="preserve">years </w:t>
      </w:r>
      <w:r w:rsidRPr="005C3289">
        <w:rPr>
          <w:rStyle w:val="None"/>
          <w:rFonts w:ascii="Times New Roman" w:hAnsi="Times New Roman" w:cs="Times New Roman"/>
          <w:sz w:val="24"/>
          <w:szCs w:val="24"/>
        </w:rPr>
        <w:t>2014-15, 2016, 2017</w:t>
      </w:r>
      <w:r w:rsidR="00D7567A" w:rsidRPr="005C3289">
        <w:rPr>
          <w:rStyle w:val="None"/>
          <w:rFonts w:ascii="Times New Roman" w:hAnsi="Times New Roman" w:cs="Times New Roman"/>
          <w:sz w:val="24"/>
          <w:szCs w:val="24"/>
        </w:rPr>
        <w:t xml:space="preserve"> and</w:t>
      </w:r>
      <w:r w:rsidRPr="005C3289">
        <w:rPr>
          <w:rStyle w:val="None"/>
          <w:rFonts w:ascii="Times New Roman" w:hAnsi="Times New Roman" w:cs="Times New Roman"/>
          <w:sz w:val="24"/>
          <w:szCs w:val="24"/>
        </w:rPr>
        <w:t xml:space="preserve"> 2018</w:t>
      </w:r>
      <w:r w:rsidR="00A64F59" w:rsidRPr="005C3289">
        <w:rPr>
          <w:rStyle w:val="FootnoteReference"/>
          <w:rFonts w:ascii="Times New Roman" w:hAnsi="Times New Roman" w:cs="Times New Roman"/>
          <w:sz w:val="24"/>
          <w:szCs w:val="24"/>
        </w:rPr>
        <w:footnoteReference w:id="2"/>
      </w:r>
      <w:r w:rsidR="00584124" w:rsidRPr="005C3289">
        <w:rPr>
          <w:rStyle w:val="None"/>
          <w:rFonts w:ascii="Times New Roman" w:hAnsi="Times New Roman" w:cs="Times New Roman"/>
          <w:sz w:val="24"/>
          <w:szCs w:val="24"/>
        </w:rPr>
        <w:t>. These were</w:t>
      </w:r>
      <w:r w:rsidRPr="005C3289">
        <w:rPr>
          <w:rStyle w:val="None"/>
          <w:rFonts w:ascii="Times New Roman" w:hAnsi="Times New Roman" w:cs="Times New Roman"/>
          <w:sz w:val="24"/>
          <w:szCs w:val="24"/>
        </w:rPr>
        <w:t xml:space="preserve"> then merged</w:t>
      </w:r>
      <w:r w:rsidR="00D7567A" w:rsidRPr="005C3289">
        <w:rPr>
          <w:rStyle w:val="None"/>
          <w:rFonts w:ascii="Times New Roman" w:hAnsi="Times New Roman" w:cs="Times New Roman"/>
          <w:sz w:val="24"/>
          <w:szCs w:val="24"/>
        </w:rPr>
        <w:t>, and the data for year 2014 was removed since it is not part of our study period.</w:t>
      </w:r>
    </w:p>
    <w:p w14:paraId="349DE0BE" w14:textId="725724B7" w:rsidR="002528F4" w:rsidRPr="005C3289" w:rsidRDefault="00157EF8" w:rsidP="00BD253E">
      <w:pPr>
        <w:pStyle w:val="BodyA"/>
        <w:jc w:val="both"/>
        <w:rPr>
          <w:rStyle w:val="None"/>
          <w:rFonts w:ascii="Times New Roman" w:eastAsia="Times New Roman" w:hAnsi="Times New Roman" w:cs="Times New Roman"/>
          <w:sz w:val="24"/>
          <w:szCs w:val="24"/>
        </w:rPr>
      </w:pPr>
      <w:r w:rsidRPr="005C3289">
        <w:rPr>
          <w:rStyle w:val="None"/>
          <w:rFonts w:ascii="Times New Roman" w:hAnsi="Times New Roman" w:cs="Times New Roman"/>
          <w:sz w:val="24"/>
          <w:szCs w:val="24"/>
        </w:rPr>
        <w:t>Next, t</w:t>
      </w:r>
      <w:r w:rsidR="002528F4" w:rsidRPr="005C3289">
        <w:rPr>
          <w:rStyle w:val="None"/>
          <w:rFonts w:ascii="Times New Roman" w:hAnsi="Times New Roman" w:cs="Times New Roman"/>
          <w:sz w:val="24"/>
          <w:szCs w:val="24"/>
        </w:rPr>
        <w:t>o prepare this single combined dataset for analysis, the following steps were performed</w:t>
      </w:r>
      <w:r w:rsidR="003504CB" w:rsidRPr="005C3289">
        <w:rPr>
          <w:rStyle w:val="None"/>
          <w:rFonts w:ascii="Times New Roman" w:hAnsi="Times New Roman" w:cs="Times New Roman"/>
          <w:sz w:val="24"/>
          <w:szCs w:val="24"/>
        </w:rPr>
        <w:t>.</w:t>
      </w:r>
    </w:p>
    <w:p w14:paraId="27C3B8B5" w14:textId="02E3077B" w:rsidR="002528F4" w:rsidRDefault="002528F4" w:rsidP="00BD253E">
      <w:pPr>
        <w:pStyle w:val="BodyA"/>
        <w:numPr>
          <w:ilvl w:val="0"/>
          <w:numId w:val="2"/>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 xml:space="preserve">The dataset was filtered to include only finance </w:t>
      </w:r>
      <w:r w:rsidR="005B4B5F" w:rsidRPr="005C3289">
        <w:rPr>
          <w:rStyle w:val="None"/>
          <w:rFonts w:ascii="Times New Roman" w:hAnsi="Times New Roman" w:cs="Times New Roman"/>
          <w:sz w:val="24"/>
          <w:szCs w:val="24"/>
        </w:rPr>
        <w:t>from</w:t>
      </w:r>
      <w:r w:rsidRPr="005C3289">
        <w:rPr>
          <w:rStyle w:val="None"/>
          <w:rFonts w:ascii="Times New Roman" w:hAnsi="Times New Roman" w:cs="Times New Roman"/>
          <w:sz w:val="24"/>
          <w:szCs w:val="24"/>
        </w:rPr>
        <w:t xml:space="preserve"> </w:t>
      </w:r>
      <w:r w:rsidR="005B4B5F" w:rsidRPr="005C3289">
        <w:rPr>
          <w:rStyle w:val="None"/>
          <w:rFonts w:ascii="Times New Roman" w:hAnsi="Times New Roman" w:cs="Times New Roman"/>
          <w:sz w:val="24"/>
          <w:szCs w:val="24"/>
        </w:rPr>
        <w:t xml:space="preserve">the </w:t>
      </w:r>
      <w:r w:rsidR="00CB7EFA" w:rsidRPr="005C3289">
        <w:rPr>
          <w:rStyle w:val="None"/>
          <w:rFonts w:ascii="Times New Roman" w:hAnsi="Times New Roman" w:cs="Times New Roman"/>
          <w:sz w:val="24"/>
          <w:szCs w:val="24"/>
        </w:rPr>
        <w:t xml:space="preserve">20 </w:t>
      </w:r>
      <w:r w:rsidR="005B4B5F" w:rsidRPr="005C3289">
        <w:rPr>
          <w:rStyle w:val="None"/>
          <w:rFonts w:ascii="Times New Roman" w:hAnsi="Times New Roman" w:cs="Times New Roman"/>
          <w:sz w:val="24"/>
          <w:szCs w:val="24"/>
        </w:rPr>
        <w:t>listed donors</w:t>
      </w:r>
      <w:r w:rsidR="00C24EA5" w:rsidRPr="005C3289">
        <w:rPr>
          <w:rStyle w:val="None"/>
          <w:rFonts w:ascii="Times New Roman" w:hAnsi="Times New Roman" w:cs="Times New Roman"/>
          <w:sz w:val="24"/>
          <w:szCs w:val="24"/>
        </w:rPr>
        <w:t xml:space="preserve"> </w:t>
      </w:r>
      <w:r w:rsidR="00C24EA5" w:rsidRPr="005C3289">
        <w:rPr>
          <w:rFonts w:ascii="Times New Roman" w:hAnsi="Times New Roman" w:cs="Times New Roman"/>
          <w:color w:val="auto"/>
          <w:sz w:val="24"/>
          <w:szCs w:val="24"/>
          <w:lang w:val="en-AU"/>
        </w:rPr>
        <w:t>(12 bilateral, 8 MDBs)</w:t>
      </w:r>
      <w:r w:rsidR="00DC3CAD" w:rsidRPr="005C3289">
        <w:rPr>
          <w:rStyle w:val="None"/>
          <w:rFonts w:ascii="Times New Roman" w:hAnsi="Times New Roman" w:cs="Times New Roman"/>
          <w:color w:val="auto"/>
          <w:sz w:val="24"/>
          <w:szCs w:val="24"/>
        </w:rPr>
        <w:t xml:space="preserve"> </w:t>
      </w:r>
      <w:r w:rsidR="00DC3CAD" w:rsidRPr="005C3289">
        <w:rPr>
          <w:rStyle w:val="None"/>
          <w:rFonts w:ascii="Times New Roman" w:hAnsi="Times New Roman" w:cs="Times New Roman"/>
          <w:sz w:val="24"/>
          <w:szCs w:val="24"/>
        </w:rPr>
        <w:t>(</w:t>
      </w:r>
      <w:r w:rsidR="00DC3CAD" w:rsidRPr="005C3289">
        <w:rPr>
          <w:rStyle w:val="None"/>
          <w:rFonts w:ascii="Times New Roman" w:hAnsi="Times New Roman" w:cs="Times New Roman"/>
          <w:b/>
          <w:bCs/>
          <w:sz w:val="24"/>
          <w:szCs w:val="24"/>
        </w:rPr>
        <w:t xml:space="preserve">Column </w:t>
      </w:r>
      <w:r w:rsidR="00061A67" w:rsidRPr="005C3289">
        <w:rPr>
          <w:rStyle w:val="None"/>
          <w:rFonts w:ascii="Times New Roman" w:hAnsi="Times New Roman" w:cs="Times New Roman"/>
          <w:b/>
          <w:bCs/>
          <w:sz w:val="24"/>
          <w:szCs w:val="24"/>
        </w:rPr>
        <w:t>C</w:t>
      </w:r>
      <w:proofErr w:type="gramStart"/>
      <w:r w:rsidR="00DC3CAD" w:rsidRPr="005C3289">
        <w:rPr>
          <w:rStyle w:val="None"/>
          <w:rFonts w:ascii="Times New Roman" w:hAnsi="Times New Roman" w:cs="Times New Roman"/>
          <w:sz w:val="24"/>
          <w:szCs w:val="24"/>
        </w:rPr>
        <w:t>)</w:t>
      </w:r>
      <w:r w:rsidRPr="005C3289">
        <w:rPr>
          <w:rStyle w:val="None"/>
          <w:rFonts w:ascii="Times New Roman" w:hAnsi="Times New Roman" w:cs="Times New Roman"/>
          <w:sz w:val="24"/>
          <w:szCs w:val="24"/>
        </w:rPr>
        <w:t>;</w:t>
      </w:r>
      <w:proofErr w:type="gramEnd"/>
      <w:r w:rsidRPr="005C3289">
        <w:rPr>
          <w:rStyle w:val="None"/>
          <w:rFonts w:ascii="Times New Roman" w:hAnsi="Times New Roman" w:cs="Times New Roman"/>
          <w:sz w:val="24"/>
          <w:szCs w:val="24"/>
        </w:rPr>
        <w:t xml:space="preserve"> </w:t>
      </w:r>
    </w:p>
    <w:p w14:paraId="34E43558" w14:textId="77777777" w:rsidR="005C3289" w:rsidRPr="005C3289" w:rsidRDefault="005C3289" w:rsidP="004D26E1">
      <w:pPr>
        <w:pStyle w:val="BodyA"/>
        <w:ind w:left="720"/>
        <w:jc w:val="both"/>
        <w:rPr>
          <w:rStyle w:val="None"/>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3"/>
        <w:gridCol w:w="5993"/>
      </w:tblGrid>
      <w:tr w:rsidR="005C3289" w:rsidRPr="005C3289" w14:paraId="1E19AB46" w14:textId="77777777" w:rsidTr="00E90DB7">
        <w:tc>
          <w:tcPr>
            <w:tcW w:w="3114" w:type="dxa"/>
          </w:tcPr>
          <w:p w14:paraId="0E470AE7" w14:textId="77777777" w:rsidR="005C3289" w:rsidRPr="005C3289" w:rsidRDefault="005C3289" w:rsidP="00E90DB7">
            <w:pPr>
              <w:pStyle w:val="NormalWeb"/>
              <w:spacing w:before="120" w:beforeAutospacing="0" w:after="120" w:afterAutospacing="0"/>
              <w:rPr>
                <w:sz w:val="24"/>
                <w:szCs w:val="24"/>
                <w:lang w:val="en-US"/>
              </w:rPr>
            </w:pPr>
            <w:r w:rsidRPr="005C3289">
              <w:rPr>
                <w:sz w:val="24"/>
                <w:szCs w:val="24"/>
                <w:lang w:val="en-US"/>
              </w:rPr>
              <w:t xml:space="preserve">Bilateral donors </w:t>
            </w:r>
          </w:p>
        </w:tc>
        <w:tc>
          <w:tcPr>
            <w:tcW w:w="6236" w:type="dxa"/>
          </w:tcPr>
          <w:p w14:paraId="39F19480" w14:textId="77777777" w:rsidR="005C3289" w:rsidRDefault="005C3289" w:rsidP="00E90DB7">
            <w:pPr>
              <w:pStyle w:val="NormalWeb"/>
              <w:shd w:val="clear" w:color="auto" w:fill="FFFFFF"/>
              <w:spacing w:before="120" w:beforeAutospacing="0" w:after="120" w:afterAutospacing="0"/>
              <w:rPr>
                <w:sz w:val="24"/>
                <w:szCs w:val="24"/>
                <w:lang w:val="en-US"/>
              </w:rPr>
            </w:pPr>
            <w:r w:rsidRPr="005C3289">
              <w:rPr>
                <w:sz w:val="24"/>
                <w:szCs w:val="24"/>
                <w:lang w:val="en-US"/>
              </w:rPr>
              <w:t xml:space="preserve">The 12 bilateral donors of interest are: </w:t>
            </w:r>
          </w:p>
          <w:p w14:paraId="5679EA2D" w14:textId="6BF5DA9B" w:rsidR="005C3289" w:rsidRPr="005C3289" w:rsidRDefault="005C3289" w:rsidP="00E90DB7">
            <w:pPr>
              <w:pStyle w:val="NormalWeb"/>
              <w:shd w:val="clear" w:color="auto" w:fill="FFFFFF"/>
              <w:spacing w:before="120" w:beforeAutospacing="0" w:after="120" w:afterAutospacing="0"/>
              <w:rPr>
                <w:sz w:val="24"/>
                <w:szCs w:val="24"/>
              </w:rPr>
            </w:pPr>
            <w:r w:rsidRPr="005C3289">
              <w:rPr>
                <w:sz w:val="24"/>
                <w:szCs w:val="24"/>
              </w:rPr>
              <w:t xml:space="preserve">United Kingdom, Germany, France, The Netherlands, Denmark, Switzerland, Sweden, USA, Canada, Australia, </w:t>
            </w:r>
            <w:proofErr w:type="gramStart"/>
            <w:r w:rsidRPr="005C3289">
              <w:rPr>
                <w:sz w:val="24"/>
                <w:szCs w:val="24"/>
              </w:rPr>
              <w:t>Japan</w:t>
            </w:r>
            <w:proofErr w:type="gramEnd"/>
            <w:r w:rsidRPr="005C3289">
              <w:rPr>
                <w:sz w:val="24"/>
                <w:szCs w:val="24"/>
              </w:rPr>
              <w:t xml:space="preserve"> and South Korea </w:t>
            </w:r>
          </w:p>
        </w:tc>
      </w:tr>
      <w:tr w:rsidR="005C3289" w:rsidRPr="005C3289" w14:paraId="32AA2CC5" w14:textId="77777777" w:rsidTr="00E90DB7">
        <w:tc>
          <w:tcPr>
            <w:tcW w:w="3114" w:type="dxa"/>
          </w:tcPr>
          <w:p w14:paraId="59CC579F" w14:textId="77777777" w:rsidR="005C3289" w:rsidRPr="005C3289" w:rsidRDefault="005C3289" w:rsidP="00E90DB7">
            <w:pPr>
              <w:pStyle w:val="NormalWeb"/>
              <w:spacing w:before="120" w:beforeAutospacing="0" w:after="120" w:afterAutospacing="0"/>
              <w:rPr>
                <w:sz w:val="24"/>
                <w:szCs w:val="24"/>
                <w:lang w:val="en-US"/>
              </w:rPr>
            </w:pPr>
            <w:r w:rsidRPr="005C3289">
              <w:rPr>
                <w:sz w:val="24"/>
                <w:szCs w:val="24"/>
                <w:lang w:val="en-US"/>
              </w:rPr>
              <w:t>Multilateral donors</w:t>
            </w:r>
          </w:p>
        </w:tc>
        <w:tc>
          <w:tcPr>
            <w:tcW w:w="6236" w:type="dxa"/>
          </w:tcPr>
          <w:p w14:paraId="41EE65C9" w14:textId="77777777" w:rsidR="005C3289" w:rsidRDefault="005C3289" w:rsidP="00E90DB7">
            <w:pPr>
              <w:pStyle w:val="NormalWeb"/>
              <w:shd w:val="clear" w:color="auto" w:fill="FFFFFF"/>
              <w:spacing w:before="120" w:beforeAutospacing="0" w:after="120" w:afterAutospacing="0"/>
              <w:rPr>
                <w:sz w:val="24"/>
                <w:szCs w:val="24"/>
                <w:lang w:val="en-US"/>
              </w:rPr>
            </w:pPr>
            <w:r w:rsidRPr="005C3289">
              <w:rPr>
                <w:sz w:val="24"/>
                <w:szCs w:val="24"/>
                <w:lang w:val="en-US"/>
              </w:rPr>
              <w:t>The 8 multilateral donors of interest are:</w:t>
            </w:r>
          </w:p>
          <w:p w14:paraId="0F4A5BA3" w14:textId="51D05F8C" w:rsidR="005C3289" w:rsidRPr="005C3289" w:rsidRDefault="005C3289" w:rsidP="00E90DB7">
            <w:pPr>
              <w:pStyle w:val="NormalWeb"/>
              <w:shd w:val="clear" w:color="auto" w:fill="FFFFFF"/>
              <w:spacing w:before="120" w:beforeAutospacing="0" w:after="120" w:afterAutospacing="0"/>
              <w:rPr>
                <w:sz w:val="24"/>
                <w:szCs w:val="24"/>
              </w:rPr>
            </w:pPr>
            <w:r w:rsidRPr="005C3289">
              <w:rPr>
                <w:sz w:val="24"/>
                <w:szCs w:val="24"/>
                <w:lang w:val="en-US"/>
              </w:rPr>
              <w:t xml:space="preserve"> </w:t>
            </w:r>
            <w:r w:rsidRPr="007F06D9">
              <w:rPr>
                <w:sz w:val="24"/>
                <w:szCs w:val="24"/>
              </w:rPr>
              <w:t>the European Union, the Green Climate Fund, IRENA, UNDP, UNEP, World Bank, Asian Development Bank and European Investment Bank.</w:t>
            </w:r>
            <w:r w:rsidRPr="005C3289">
              <w:rPr>
                <w:sz w:val="24"/>
                <w:szCs w:val="24"/>
              </w:rPr>
              <w:t xml:space="preserve"> </w:t>
            </w:r>
          </w:p>
        </w:tc>
      </w:tr>
    </w:tbl>
    <w:p w14:paraId="19B1789C" w14:textId="77777777" w:rsidR="00871DC9" w:rsidRPr="005C3289" w:rsidRDefault="00871DC9" w:rsidP="00871DC9">
      <w:pPr>
        <w:pStyle w:val="BodyA"/>
        <w:jc w:val="both"/>
        <w:rPr>
          <w:rStyle w:val="None"/>
          <w:rFonts w:ascii="Times New Roman" w:hAnsi="Times New Roman" w:cs="Times New Roman"/>
          <w:sz w:val="24"/>
          <w:szCs w:val="24"/>
        </w:rPr>
      </w:pPr>
    </w:p>
    <w:p w14:paraId="101B56EC" w14:textId="73D113EA" w:rsidR="005B4B5F" w:rsidRDefault="005B4B5F" w:rsidP="00BD253E">
      <w:pPr>
        <w:pStyle w:val="BodyA"/>
        <w:numPr>
          <w:ilvl w:val="0"/>
          <w:numId w:val="2"/>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 xml:space="preserve">The dataset was filtered to include only finance targeting the </w:t>
      </w:r>
      <w:r w:rsidR="00CB7EFA" w:rsidRPr="005C3289">
        <w:rPr>
          <w:rStyle w:val="None"/>
          <w:rFonts w:ascii="Times New Roman" w:hAnsi="Times New Roman" w:cs="Times New Roman"/>
          <w:sz w:val="24"/>
          <w:szCs w:val="24"/>
        </w:rPr>
        <w:t>10</w:t>
      </w:r>
      <w:r w:rsidR="00E75E2D" w:rsidRPr="005C3289">
        <w:rPr>
          <w:rStyle w:val="None"/>
          <w:rFonts w:ascii="Times New Roman" w:hAnsi="Times New Roman" w:cs="Times New Roman"/>
          <w:sz w:val="24"/>
          <w:szCs w:val="24"/>
        </w:rPr>
        <w:t xml:space="preserve"> </w:t>
      </w:r>
      <w:r w:rsidRPr="005C3289">
        <w:rPr>
          <w:rStyle w:val="None"/>
          <w:rFonts w:ascii="Times New Roman" w:hAnsi="Times New Roman" w:cs="Times New Roman"/>
          <w:sz w:val="24"/>
          <w:szCs w:val="24"/>
        </w:rPr>
        <w:t>listed recipient countries</w:t>
      </w:r>
      <w:r w:rsidR="00DC3CAD" w:rsidRPr="005C3289">
        <w:rPr>
          <w:rStyle w:val="None"/>
          <w:rFonts w:ascii="Times New Roman" w:hAnsi="Times New Roman" w:cs="Times New Roman"/>
          <w:sz w:val="24"/>
          <w:szCs w:val="24"/>
        </w:rPr>
        <w:t xml:space="preserve"> (</w:t>
      </w:r>
      <w:r w:rsidR="00DC3CAD" w:rsidRPr="005C3289">
        <w:rPr>
          <w:rStyle w:val="None"/>
          <w:rFonts w:ascii="Times New Roman" w:hAnsi="Times New Roman" w:cs="Times New Roman"/>
          <w:b/>
          <w:bCs/>
          <w:sz w:val="24"/>
          <w:szCs w:val="24"/>
        </w:rPr>
        <w:t xml:space="preserve">Column </w:t>
      </w:r>
      <w:r w:rsidR="00C11C90" w:rsidRPr="005C3289">
        <w:rPr>
          <w:rStyle w:val="None"/>
          <w:rFonts w:ascii="Times New Roman" w:hAnsi="Times New Roman" w:cs="Times New Roman"/>
          <w:b/>
          <w:bCs/>
          <w:sz w:val="24"/>
          <w:szCs w:val="24"/>
        </w:rPr>
        <w:t>J</w:t>
      </w:r>
      <w:proofErr w:type="gramStart"/>
      <w:r w:rsidR="00DC3CAD" w:rsidRPr="005C3289">
        <w:rPr>
          <w:rStyle w:val="None"/>
          <w:rFonts w:ascii="Times New Roman" w:hAnsi="Times New Roman" w:cs="Times New Roman"/>
          <w:sz w:val="24"/>
          <w:szCs w:val="24"/>
        </w:rPr>
        <w:t>)</w:t>
      </w:r>
      <w:r w:rsidRPr="005C3289">
        <w:rPr>
          <w:rStyle w:val="None"/>
          <w:rFonts w:ascii="Times New Roman" w:hAnsi="Times New Roman" w:cs="Times New Roman"/>
          <w:sz w:val="24"/>
          <w:szCs w:val="24"/>
        </w:rPr>
        <w:t>;</w:t>
      </w:r>
      <w:proofErr w:type="gramEnd"/>
    </w:p>
    <w:tbl>
      <w:tblPr>
        <w:tblStyle w:val="TableGrid"/>
        <w:tblW w:w="0" w:type="auto"/>
        <w:tblLook w:val="04A0" w:firstRow="1" w:lastRow="0" w:firstColumn="1" w:lastColumn="0" w:noHBand="0" w:noVBand="1"/>
      </w:tblPr>
      <w:tblGrid>
        <w:gridCol w:w="3018"/>
        <w:gridCol w:w="5998"/>
      </w:tblGrid>
      <w:tr w:rsidR="00971475" w:rsidRPr="00971475" w14:paraId="2632CE36" w14:textId="77777777" w:rsidTr="00E90DB7">
        <w:tc>
          <w:tcPr>
            <w:tcW w:w="3114" w:type="dxa"/>
          </w:tcPr>
          <w:p w14:paraId="21E425A7" w14:textId="77777777" w:rsidR="00971475" w:rsidRPr="00971475" w:rsidRDefault="00971475" w:rsidP="00E90DB7">
            <w:pPr>
              <w:pStyle w:val="NormalWeb"/>
              <w:spacing w:before="120" w:beforeAutospacing="0" w:after="120" w:afterAutospacing="0"/>
              <w:rPr>
                <w:sz w:val="24"/>
                <w:szCs w:val="24"/>
                <w:lang w:val="en-US"/>
              </w:rPr>
            </w:pPr>
            <w:r w:rsidRPr="00971475">
              <w:rPr>
                <w:sz w:val="24"/>
                <w:szCs w:val="24"/>
              </w:rPr>
              <w:t xml:space="preserve">Recipient countries </w:t>
            </w:r>
          </w:p>
          <w:p w14:paraId="48852DB1" w14:textId="77777777" w:rsidR="00971475" w:rsidRPr="00971475" w:rsidRDefault="00971475" w:rsidP="00E90DB7">
            <w:pPr>
              <w:pStyle w:val="NormalWeb"/>
              <w:spacing w:before="120" w:beforeAutospacing="0" w:after="120" w:afterAutospacing="0"/>
              <w:rPr>
                <w:sz w:val="24"/>
                <w:szCs w:val="24"/>
              </w:rPr>
            </w:pPr>
          </w:p>
        </w:tc>
        <w:tc>
          <w:tcPr>
            <w:tcW w:w="6236" w:type="dxa"/>
          </w:tcPr>
          <w:p w14:paraId="3836B7B8" w14:textId="77777777" w:rsidR="00971475" w:rsidRPr="00971475" w:rsidRDefault="00971475" w:rsidP="00E90DB7">
            <w:pPr>
              <w:pStyle w:val="NormalWeb"/>
              <w:shd w:val="clear" w:color="auto" w:fill="FFFFFF"/>
              <w:spacing w:before="120" w:beforeAutospacing="0" w:after="120" w:afterAutospacing="0"/>
              <w:rPr>
                <w:sz w:val="24"/>
                <w:szCs w:val="24"/>
              </w:rPr>
            </w:pPr>
            <w:r w:rsidRPr="00971475">
              <w:rPr>
                <w:sz w:val="24"/>
                <w:szCs w:val="24"/>
                <w:lang w:val="en-US"/>
              </w:rPr>
              <w:t>The 10 recipient countries of interest are:</w:t>
            </w:r>
            <w:r w:rsidRPr="00971475">
              <w:rPr>
                <w:sz w:val="24"/>
                <w:szCs w:val="24"/>
              </w:rPr>
              <w:t xml:space="preserve"> China, India, Brazil, Indonesia, Mexico, South Africa, Pakistan, Thailand, </w:t>
            </w:r>
            <w:proofErr w:type="gramStart"/>
            <w:r w:rsidRPr="00971475">
              <w:rPr>
                <w:sz w:val="24"/>
                <w:szCs w:val="24"/>
              </w:rPr>
              <w:t>Vietnam</w:t>
            </w:r>
            <w:proofErr w:type="gramEnd"/>
            <w:r w:rsidRPr="00971475">
              <w:rPr>
                <w:sz w:val="24"/>
                <w:szCs w:val="24"/>
              </w:rPr>
              <w:t xml:space="preserve"> and the Philippines. </w:t>
            </w:r>
          </w:p>
        </w:tc>
      </w:tr>
    </w:tbl>
    <w:p w14:paraId="4AD9D599" w14:textId="77777777" w:rsidR="00971475" w:rsidRPr="005C3289" w:rsidRDefault="00971475" w:rsidP="00971475">
      <w:pPr>
        <w:pStyle w:val="BodyA"/>
        <w:jc w:val="both"/>
        <w:rPr>
          <w:rStyle w:val="None"/>
          <w:rFonts w:ascii="Times New Roman" w:hAnsi="Times New Roman" w:cs="Times New Roman"/>
          <w:sz w:val="24"/>
          <w:szCs w:val="24"/>
        </w:rPr>
      </w:pPr>
    </w:p>
    <w:p w14:paraId="4C1D8885" w14:textId="15F7F917" w:rsidR="00157EF8" w:rsidRPr="005C3289" w:rsidRDefault="00157EF8" w:rsidP="00BD253E">
      <w:pPr>
        <w:pStyle w:val="BodyA"/>
        <w:numPr>
          <w:ilvl w:val="0"/>
          <w:numId w:val="2"/>
        </w:numPr>
        <w:jc w:val="both"/>
        <w:rPr>
          <w:rFonts w:ascii="Times New Roman" w:hAnsi="Times New Roman" w:cs="Times New Roman"/>
          <w:sz w:val="24"/>
          <w:szCs w:val="24"/>
        </w:rPr>
      </w:pPr>
      <w:r w:rsidRPr="005C3289">
        <w:rPr>
          <w:rStyle w:val="None"/>
          <w:rFonts w:ascii="Times New Roman" w:hAnsi="Times New Roman" w:cs="Times New Roman"/>
          <w:sz w:val="24"/>
          <w:szCs w:val="24"/>
        </w:rPr>
        <w:t xml:space="preserve">The dataset was filtered to include only the </w:t>
      </w:r>
      <w:r w:rsidR="00CB7EFA" w:rsidRPr="005C3289">
        <w:rPr>
          <w:rStyle w:val="None"/>
          <w:rFonts w:ascii="Times New Roman" w:hAnsi="Times New Roman" w:cs="Times New Roman"/>
          <w:sz w:val="24"/>
          <w:szCs w:val="24"/>
        </w:rPr>
        <w:t xml:space="preserve">5 </w:t>
      </w:r>
      <w:r w:rsidRPr="005C3289">
        <w:rPr>
          <w:rStyle w:val="None"/>
          <w:rFonts w:ascii="Times New Roman" w:hAnsi="Times New Roman" w:cs="Times New Roman"/>
          <w:sz w:val="24"/>
          <w:szCs w:val="24"/>
        </w:rPr>
        <w:t>listed sectors (</w:t>
      </w:r>
      <w:r w:rsidR="00B45045" w:rsidRPr="005C3289">
        <w:rPr>
          <w:rStyle w:val="None"/>
          <w:rFonts w:ascii="Times New Roman" w:hAnsi="Times New Roman" w:cs="Times New Roman"/>
          <w:sz w:val="24"/>
          <w:szCs w:val="24"/>
        </w:rPr>
        <w:t>T</w:t>
      </w:r>
      <w:r w:rsidRPr="005C3289">
        <w:rPr>
          <w:rStyle w:val="None"/>
          <w:rFonts w:ascii="Times New Roman" w:hAnsi="Times New Roman" w:cs="Times New Roman"/>
          <w:sz w:val="24"/>
          <w:szCs w:val="24"/>
        </w:rPr>
        <w:t xml:space="preserve">ransport and storage; </w:t>
      </w:r>
      <w:r w:rsidR="00B45045" w:rsidRPr="005C3289">
        <w:rPr>
          <w:rStyle w:val="None"/>
          <w:rFonts w:ascii="Times New Roman" w:hAnsi="Times New Roman" w:cs="Times New Roman"/>
          <w:sz w:val="24"/>
          <w:szCs w:val="24"/>
        </w:rPr>
        <w:t>E</w:t>
      </w:r>
      <w:r w:rsidRPr="005C3289">
        <w:rPr>
          <w:rStyle w:val="None"/>
          <w:rFonts w:ascii="Times New Roman" w:hAnsi="Times New Roman" w:cs="Times New Roman"/>
          <w:sz w:val="24"/>
          <w:szCs w:val="24"/>
        </w:rPr>
        <w:t xml:space="preserve">nergy; </w:t>
      </w:r>
      <w:r w:rsidR="00B45045" w:rsidRPr="005C3289">
        <w:rPr>
          <w:rStyle w:val="None"/>
          <w:rFonts w:ascii="Times New Roman" w:hAnsi="Times New Roman" w:cs="Times New Roman"/>
          <w:sz w:val="24"/>
          <w:szCs w:val="24"/>
        </w:rPr>
        <w:t>I</w:t>
      </w:r>
      <w:r w:rsidRPr="005C3289">
        <w:rPr>
          <w:rStyle w:val="None"/>
          <w:rFonts w:ascii="Times New Roman" w:hAnsi="Times New Roman" w:cs="Times New Roman"/>
          <w:sz w:val="24"/>
          <w:szCs w:val="24"/>
        </w:rPr>
        <w:t xml:space="preserve">ndustry, </w:t>
      </w:r>
      <w:proofErr w:type="gramStart"/>
      <w:r w:rsidRPr="005C3289">
        <w:rPr>
          <w:rStyle w:val="None"/>
          <w:rFonts w:ascii="Times New Roman" w:hAnsi="Times New Roman" w:cs="Times New Roman"/>
          <w:sz w:val="24"/>
          <w:szCs w:val="24"/>
        </w:rPr>
        <w:t>construction</w:t>
      </w:r>
      <w:proofErr w:type="gramEnd"/>
      <w:r w:rsidRPr="005C3289">
        <w:rPr>
          <w:rStyle w:val="None"/>
          <w:rFonts w:ascii="Times New Roman" w:hAnsi="Times New Roman" w:cs="Times New Roman"/>
          <w:sz w:val="24"/>
          <w:szCs w:val="24"/>
        </w:rPr>
        <w:t xml:space="preserve"> and mining; </w:t>
      </w:r>
      <w:r w:rsidR="00B45045" w:rsidRPr="005C3289">
        <w:rPr>
          <w:rStyle w:val="None"/>
          <w:rFonts w:ascii="Times New Roman" w:hAnsi="Times New Roman" w:cs="Times New Roman"/>
          <w:sz w:val="24"/>
          <w:szCs w:val="24"/>
        </w:rPr>
        <w:t>G</w:t>
      </w:r>
      <w:r w:rsidRPr="005C3289">
        <w:rPr>
          <w:rStyle w:val="None"/>
          <w:rFonts w:ascii="Times New Roman" w:hAnsi="Times New Roman" w:cs="Times New Roman"/>
          <w:sz w:val="24"/>
          <w:szCs w:val="24"/>
        </w:rPr>
        <w:t xml:space="preserve">eneral environment protection; and </w:t>
      </w:r>
      <w:r w:rsidR="00B45045" w:rsidRPr="005C3289">
        <w:rPr>
          <w:rStyle w:val="None"/>
          <w:rFonts w:ascii="Times New Roman" w:hAnsi="Times New Roman" w:cs="Times New Roman"/>
          <w:sz w:val="24"/>
          <w:szCs w:val="24"/>
        </w:rPr>
        <w:t>O</w:t>
      </w:r>
      <w:r w:rsidRPr="005C3289">
        <w:rPr>
          <w:rStyle w:val="None"/>
          <w:rFonts w:ascii="Times New Roman" w:hAnsi="Times New Roman" w:cs="Times New Roman"/>
          <w:sz w:val="24"/>
          <w:szCs w:val="24"/>
        </w:rPr>
        <w:t xml:space="preserve">ther </w:t>
      </w:r>
      <w:r w:rsidR="00B45045" w:rsidRPr="005C3289">
        <w:rPr>
          <w:rStyle w:val="None"/>
          <w:rFonts w:ascii="Times New Roman" w:hAnsi="Times New Roman" w:cs="Times New Roman"/>
          <w:sz w:val="24"/>
          <w:szCs w:val="24"/>
        </w:rPr>
        <w:t>multisector</w:t>
      </w:r>
      <w:r w:rsidRPr="005C3289">
        <w:rPr>
          <w:rStyle w:val="None"/>
          <w:rFonts w:ascii="Times New Roman" w:hAnsi="Times New Roman" w:cs="Times New Roman"/>
          <w:sz w:val="24"/>
          <w:szCs w:val="24"/>
        </w:rPr>
        <w:t>)</w:t>
      </w:r>
      <w:r w:rsidR="00DC3CAD" w:rsidRPr="005C3289">
        <w:rPr>
          <w:rStyle w:val="None"/>
          <w:rFonts w:ascii="Times New Roman" w:hAnsi="Times New Roman" w:cs="Times New Roman"/>
          <w:sz w:val="24"/>
          <w:szCs w:val="24"/>
        </w:rPr>
        <w:t xml:space="preserve"> (</w:t>
      </w:r>
      <w:r w:rsidR="00DC3CAD" w:rsidRPr="005C3289">
        <w:rPr>
          <w:rStyle w:val="None"/>
          <w:rFonts w:ascii="Times New Roman" w:hAnsi="Times New Roman" w:cs="Times New Roman"/>
          <w:b/>
          <w:bCs/>
          <w:sz w:val="24"/>
          <w:szCs w:val="24"/>
        </w:rPr>
        <w:t xml:space="preserve">Column </w:t>
      </w:r>
      <w:r w:rsidR="00C11C90" w:rsidRPr="005C3289">
        <w:rPr>
          <w:rStyle w:val="None"/>
          <w:rFonts w:ascii="Times New Roman" w:hAnsi="Times New Roman" w:cs="Times New Roman"/>
          <w:b/>
          <w:bCs/>
          <w:sz w:val="24"/>
          <w:szCs w:val="24"/>
        </w:rPr>
        <w:t>AC</w:t>
      </w:r>
      <w:r w:rsidR="00DC3CAD" w:rsidRPr="005C3289">
        <w:rPr>
          <w:rStyle w:val="None"/>
          <w:rFonts w:ascii="Times New Roman" w:hAnsi="Times New Roman" w:cs="Times New Roman"/>
          <w:sz w:val="24"/>
          <w:szCs w:val="24"/>
        </w:rPr>
        <w:t>)</w:t>
      </w:r>
      <w:r w:rsidRPr="005C3289">
        <w:rPr>
          <w:rStyle w:val="None"/>
          <w:rFonts w:ascii="Times New Roman" w:hAnsi="Times New Roman" w:cs="Times New Roman"/>
          <w:sz w:val="24"/>
          <w:szCs w:val="24"/>
        </w:rPr>
        <w:t>.</w:t>
      </w:r>
    </w:p>
    <w:p w14:paraId="1A91CFDF" w14:textId="431027A4" w:rsidR="002528F4" w:rsidRPr="005C3289" w:rsidRDefault="002528F4" w:rsidP="00BD253E">
      <w:pPr>
        <w:pStyle w:val="BodyA"/>
        <w:numPr>
          <w:ilvl w:val="0"/>
          <w:numId w:val="2"/>
        </w:numPr>
        <w:jc w:val="both"/>
        <w:rPr>
          <w:rFonts w:ascii="Times New Roman" w:hAnsi="Times New Roman" w:cs="Times New Roman"/>
          <w:sz w:val="24"/>
          <w:szCs w:val="24"/>
        </w:rPr>
      </w:pPr>
      <w:r w:rsidRPr="005C3289">
        <w:rPr>
          <w:rStyle w:val="None"/>
          <w:rFonts w:ascii="Times New Roman" w:hAnsi="Times New Roman" w:cs="Times New Roman"/>
          <w:sz w:val="24"/>
          <w:szCs w:val="24"/>
        </w:rPr>
        <w:t xml:space="preserve">The Rio Marker for all Green Climate Fund </w:t>
      </w:r>
      <w:r w:rsidR="00723680" w:rsidRPr="005C3289">
        <w:rPr>
          <w:rStyle w:val="None"/>
          <w:rFonts w:ascii="Times New Roman" w:hAnsi="Times New Roman" w:cs="Times New Roman"/>
          <w:sz w:val="24"/>
          <w:szCs w:val="24"/>
        </w:rPr>
        <w:t xml:space="preserve">(GCF) </w:t>
      </w:r>
      <w:r w:rsidRPr="005C3289">
        <w:rPr>
          <w:rStyle w:val="None"/>
          <w:rFonts w:ascii="Times New Roman" w:hAnsi="Times New Roman" w:cs="Times New Roman"/>
          <w:sz w:val="24"/>
          <w:szCs w:val="24"/>
        </w:rPr>
        <w:t xml:space="preserve">transactions was </w:t>
      </w:r>
      <w:r w:rsidR="00C11C90" w:rsidRPr="005C3289">
        <w:rPr>
          <w:rStyle w:val="None"/>
          <w:rFonts w:ascii="Times New Roman" w:hAnsi="Times New Roman" w:cs="Times New Roman"/>
          <w:sz w:val="24"/>
          <w:szCs w:val="24"/>
        </w:rPr>
        <w:t xml:space="preserve">manually </w:t>
      </w:r>
      <w:r w:rsidRPr="005C3289">
        <w:rPr>
          <w:rStyle w:val="None"/>
          <w:rFonts w:ascii="Times New Roman" w:hAnsi="Times New Roman" w:cs="Times New Roman"/>
          <w:sz w:val="24"/>
          <w:szCs w:val="24"/>
        </w:rPr>
        <w:t xml:space="preserve">changed from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sz w:val="24"/>
          <w:szCs w:val="24"/>
        </w:rPr>
        <w:t xml:space="preserve">Significant” to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sz w:val="24"/>
          <w:szCs w:val="24"/>
        </w:rPr>
        <w:t xml:space="preserve">Principal” in the column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i/>
          <w:iCs/>
          <w:sz w:val="24"/>
          <w:szCs w:val="24"/>
        </w:rPr>
        <w:t>Climate objective (applies to Rio-</w:t>
      </w:r>
      <w:r w:rsidRPr="005C3289">
        <w:rPr>
          <w:rStyle w:val="None"/>
          <w:rFonts w:ascii="Times New Roman" w:hAnsi="Times New Roman" w:cs="Times New Roman"/>
          <w:i/>
          <w:iCs/>
          <w:sz w:val="24"/>
          <w:szCs w:val="24"/>
        </w:rPr>
        <w:lastRenderedPageBreak/>
        <w:t>marked data only) or Climate Component</w:t>
      </w:r>
      <w:r w:rsidRPr="005C3289">
        <w:rPr>
          <w:rStyle w:val="None"/>
          <w:rFonts w:ascii="Times New Roman" w:hAnsi="Times New Roman" w:cs="Times New Roman"/>
          <w:sz w:val="24"/>
          <w:szCs w:val="24"/>
        </w:rPr>
        <w:t>”</w:t>
      </w:r>
      <w:r w:rsidR="00DC3CAD" w:rsidRPr="005C3289">
        <w:rPr>
          <w:rStyle w:val="None"/>
          <w:rFonts w:ascii="Times New Roman" w:hAnsi="Times New Roman" w:cs="Times New Roman"/>
          <w:sz w:val="24"/>
          <w:szCs w:val="24"/>
        </w:rPr>
        <w:t xml:space="preserve"> (</w:t>
      </w:r>
      <w:r w:rsidR="00DC3CAD" w:rsidRPr="005C3289">
        <w:rPr>
          <w:rStyle w:val="None"/>
          <w:rFonts w:ascii="Times New Roman" w:hAnsi="Times New Roman" w:cs="Times New Roman"/>
          <w:b/>
          <w:bCs/>
          <w:sz w:val="24"/>
          <w:szCs w:val="24"/>
        </w:rPr>
        <w:t xml:space="preserve">Column </w:t>
      </w:r>
      <w:r w:rsidR="00C11C90" w:rsidRPr="005C3289">
        <w:rPr>
          <w:rStyle w:val="None"/>
          <w:rFonts w:ascii="Times New Roman" w:hAnsi="Times New Roman" w:cs="Times New Roman"/>
          <w:b/>
          <w:bCs/>
          <w:sz w:val="24"/>
          <w:szCs w:val="24"/>
        </w:rPr>
        <w:t>O</w:t>
      </w:r>
      <w:r w:rsidR="00DC3CAD" w:rsidRPr="005C3289">
        <w:rPr>
          <w:rStyle w:val="None"/>
          <w:rFonts w:ascii="Times New Roman" w:hAnsi="Times New Roman" w:cs="Times New Roman"/>
          <w:sz w:val="24"/>
          <w:szCs w:val="24"/>
        </w:rPr>
        <w:t>)</w:t>
      </w:r>
      <w:r w:rsidR="00723680" w:rsidRPr="005C3289">
        <w:rPr>
          <w:rStyle w:val="None"/>
          <w:rFonts w:ascii="Times New Roman" w:hAnsi="Times New Roman" w:cs="Times New Roman"/>
          <w:sz w:val="24"/>
          <w:szCs w:val="24"/>
        </w:rPr>
        <w:t>. Th</w:t>
      </w:r>
      <w:r w:rsidR="007E53E8" w:rsidRPr="005C3289">
        <w:rPr>
          <w:rStyle w:val="None"/>
          <w:rFonts w:ascii="Times New Roman" w:hAnsi="Times New Roman" w:cs="Times New Roman"/>
          <w:sz w:val="24"/>
          <w:szCs w:val="24"/>
        </w:rPr>
        <w:t>is is necessary to correct a miscoding error by the GCF itself when reporting to the OECD</w:t>
      </w:r>
      <w:r w:rsidR="007E53E8" w:rsidRPr="005C3289">
        <w:rPr>
          <w:rStyle w:val="FootnoteReference"/>
          <w:rFonts w:ascii="Times New Roman" w:hAnsi="Times New Roman" w:cs="Times New Roman"/>
          <w:sz w:val="24"/>
          <w:szCs w:val="24"/>
        </w:rPr>
        <w:footnoteReference w:id="3"/>
      </w:r>
      <w:r w:rsidRPr="005C3289">
        <w:rPr>
          <w:rStyle w:val="None"/>
          <w:rFonts w:ascii="Times New Roman" w:hAnsi="Times New Roman" w:cs="Times New Roman"/>
          <w:sz w:val="24"/>
          <w:szCs w:val="24"/>
        </w:rPr>
        <w:t xml:space="preserve">; </w:t>
      </w:r>
    </w:p>
    <w:p w14:paraId="66E068DD" w14:textId="3E72A709" w:rsidR="002528F4" w:rsidRPr="005C3289" w:rsidRDefault="002528F4" w:rsidP="00BD253E">
      <w:pPr>
        <w:pStyle w:val="BodyA"/>
        <w:numPr>
          <w:ilvl w:val="0"/>
          <w:numId w:val="2"/>
        </w:numPr>
        <w:jc w:val="both"/>
        <w:rPr>
          <w:rFonts w:ascii="Times New Roman" w:hAnsi="Times New Roman" w:cs="Times New Roman"/>
          <w:sz w:val="24"/>
          <w:szCs w:val="24"/>
        </w:rPr>
      </w:pPr>
      <w:r w:rsidRPr="005C3289">
        <w:rPr>
          <w:rStyle w:val="None"/>
          <w:rFonts w:ascii="Times New Roman" w:hAnsi="Times New Roman" w:cs="Times New Roman"/>
          <w:sz w:val="24"/>
          <w:szCs w:val="24"/>
        </w:rPr>
        <w:t xml:space="preserve">The data was filtered to include only transactions tagged as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sz w:val="24"/>
          <w:szCs w:val="24"/>
        </w:rPr>
        <w:t xml:space="preserve">Principal” and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sz w:val="24"/>
          <w:szCs w:val="24"/>
        </w:rPr>
        <w:t>Climate</w:t>
      </w:r>
      <w:r w:rsidR="00BD253E" w:rsidRPr="005C3289">
        <w:rPr>
          <w:rStyle w:val="None"/>
          <w:rFonts w:ascii="Times New Roman" w:hAnsi="Times New Roman" w:cs="Times New Roman"/>
          <w:sz w:val="24"/>
          <w:szCs w:val="24"/>
        </w:rPr>
        <w:t xml:space="preserve"> </w:t>
      </w:r>
      <w:r w:rsidRPr="005C3289">
        <w:rPr>
          <w:rStyle w:val="None"/>
          <w:rFonts w:ascii="Times New Roman" w:hAnsi="Times New Roman" w:cs="Times New Roman"/>
          <w:sz w:val="24"/>
          <w:szCs w:val="24"/>
        </w:rPr>
        <w:t xml:space="preserve">Components” within the column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i/>
          <w:iCs/>
          <w:sz w:val="24"/>
          <w:szCs w:val="24"/>
        </w:rPr>
        <w:t>Climate objective (applies to Rio-marked data only) or Climate Component</w:t>
      </w:r>
      <w:r w:rsidRPr="005C3289">
        <w:rPr>
          <w:rStyle w:val="None"/>
          <w:rFonts w:ascii="Times New Roman" w:hAnsi="Times New Roman" w:cs="Times New Roman"/>
          <w:sz w:val="24"/>
          <w:szCs w:val="24"/>
        </w:rPr>
        <w:t>”</w:t>
      </w:r>
      <w:r w:rsidR="00DC3CAD" w:rsidRPr="005C3289">
        <w:rPr>
          <w:rStyle w:val="None"/>
          <w:rFonts w:ascii="Times New Roman" w:hAnsi="Times New Roman" w:cs="Times New Roman"/>
          <w:sz w:val="24"/>
          <w:szCs w:val="24"/>
        </w:rPr>
        <w:t xml:space="preserve"> (</w:t>
      </w:r>
      <w:r w:rsidR="00DC3CAD" w:rsidRPr="005C3289">
        <w:rPr>
          <w:rStyle w:val="None"/>
          <w:rFonts w:ascii="Times New Roman" w:hAnsi="Times New Roman" w:cs="Times New Roman"/>
          <w:b/>
          <w:bCs/>
          <w:sz w:val="24"/>
          <w:szCs w:val="24"/>
        </w:rPr>
        <w:t xml:space="preserve">Column </w:t>
      </w:r>
      <w:r w:rsidR="00C11C90" w:rsidRPr="005C3289">
        <w:rPr>
          <w:rStyle w:val="None"/>
          <w:rFonts w:ascii="Times New Roman" w:hAnsi="Times New Roman" w:cs="Times New Roman"/>
          <w:b/>
          <w:bCs/>
          <w:sz w:val="24"/>
          <w:szCs w:val="24"/>
        </w:rPr>
        <w:t>O</w:t>
      </w:r>
      <w:r w:rsidR="00DC3CAD" w:rsidRPr="005C3289">
        <w:rPr>
          <w:rStyle w:val="None"/>
          <w:rFonts w:ascii="Times New Roman" w:hAnsi="Times New Roman" w:cs="Times New Roman"/>
          <w:sz w:val="24"/>
          <w:szCs w:val="24"/>
        </w:rPr>
        <w:t>)</w:t>
      </w:r>
      <w:r w:rsidRPr="005C3289">
        <w:rPr>
          <w:rStyle w:val="None"/>
          <w:rFonts w:ascii="Times New Roman" w:hAnsi="Times New Roman" w:cs="Times New Roman"/>
          <w:sz w:val="24"/>
          <w:szCs w:val="24"/>
        </w:rPr>
        <w:t xml:space="preserve">. In other words, the transactions tagged as </w:t>
      </w:r>
      <w:r w:rsidRPr="005C3289">
        <w:rPr>
          <w:rStyle w:val="None"/>
          <w:rFonts w:ascii="Times New Roman" w:hAnsi="Times New Roman" w:cs="Times New Roman"/>
          <w:sz w:val="24"/>
          <w:szCs w:val="24"/>
          <w:rtl/>
          <w:lang w:val="ar-SA"/>
        </w:rPr>
        <w:t>“</w:t>
      </w:r>
      <w:r w:rsidRPr="005C3289">
        <w:rPr>
          <w:rStyle w:val="None"/>
          <w:rFonts w:ascii="Times New Roman" w:hAnsi="Times New Roman" w:cs="Times New Roman"/>
          <w:sz w:val="24"/>
          <w:szCs w:val="24"/>
        </w:rPr>
        <w:t xml:space="preserve">Significant” were </w:t>
      </w:r>
      <w:proofErr w:type="gramStart"/>
      <w:r w:rsidRPr="005C3289">
        <w:rPr>
          <w:rStyle w:val="None"/>
          <w:rFonts w:ascii="Times New Roman" w:hAnsi="Times New Roman" w:cs="Times New Roman"/>
          <w:sz w:val="24"/>
          <w:szCs w:val="24"/>
        </w:rPr>
        <w:t>excluded;</w:t>
      </w:r>
      <w:proofErr w:type="gramEnd"/>
      <w:r w:rsidRPr="005C3289">
        <w:rPr>
          <w:rStyle w:val="None"/>
          <w:rFonts w:ascii="Times New Roman" w:hAnsi="Times New Roman" w:cs="Times New Roman"/>
          <w:sz w:val="24"/>
          <w:szCs w:val="24"/>
        </w:rPr>
        <w:t xml:space="preserve"> </w:t>
      </w:r>
    </w:p>
    <w:p w14:paraId="5B31DEE7" w14:textId="458FF652" w:rsidR="002528F4" w:rsidRPr="005C3289" w:rsidRDefault="002528F4" w:rsidP="00BD253E">
      <w:pPr>
        <w:pStyle w:val="BodyA"/>
        <w:numPr>
          <w:ilvl w:val="0"/>
          <w:numId w:val="2"/>
        </w:numPr>
        <w:jc w:val="both"/>
        <w:rPr>
          <w:rFonts w:ascii="Times New Roman" w:hAnsi="Times New Roman" w:cs="Times New Roman"/>
          <w:sz w:val="24"/>
          <w:szCs w:val="24"/>
        </w:rPr>
      </w:pPr>
      <w:commentRangeStart w:id="4"/>
      <w:r w:rsidRPr="005C3289">
        <w:rPr>
          <w:rStyle w:val="None"/>
          <w:rFonts w:ascii="Times New Roman" w:hAnsi="Times New Roman" w:cs="Times New Roman"/>
          <w:sz w:val="24"/>
          <w:szCs w:val="24"/>
          <w:highlight w:val="yellow"/>
        </w:rPr>
        <w:t>The columns “</w:t>
      </w:r>
      <w:r w:rsidRPr="005C3289">
        <w:rPr>
          <w:rStyle w:val="None"/>
          <w:rFonts w:ascii="Times New Roman" w:hAnsi="Times New Roman" w:cs="Times New Roman"/>
          <w:i/>
          <w:iCs/>
          <w:sz w:val="24"/>
          <w:szCs w:val="24"/>
          <w:highlight w:val="yellow"/>
        </w:rPr>
        <w:t>Adaptation objective (applies to Rio Marked data only)</w:t>
      </w:r>
      <w:r w:rsidRPr="005C3289">
        <w:rPr>
          <w:rStyle w:val="None"/>
          <w:rFonts w:ascii="Times New Roman" w:hAnsi="Times New Roman" w:cs="Times New Roman"/>
          <w:sz w:val="24"/>
          <w:szCs w:val="24"/>
          <w:highlight w:val="yellow"/>
        </w:rPr>
        <w:t>” and “</w:t>
      </w:r>
      <w:r w:rsidR="009063A9" w:rsidRPr="005C3289">
        <w:rPr>
          <w:rStyle w:val="None"/>
          <w:rFonts w:ascii="Times New Roman" w:hAnsi="Times New Roman" w:cs="Times New Roman"/>
          <w:i/>
          <w:iCs/>
          <w:sz w:val="24"/>
          <w:szCs w:val="24"/>
          <w:highlight w:val="yellow"/>
        </w:rPr>
        <w:t>M</w:t>
      </w:r>
      <w:r w:rsidRPr="005C3289">
        <w:rPr>
          <w:rStyle w:val="None"/>
          <w:rFonts w:ascii="Times New Roman" w:hAnsi="Times New Roman" w:cs="Times New Roman"/>
          <w:i/>
          <w:iCs/>
          <w:sz w:val="24"/>
          <w:szCs w:val="24"/>
          <w:highlight w:val="yellow"/>
        </w:rPr>
        <w:t>itigation objective (applies to Rio Marked data only)</w:t>
      </w:r>
      <w:r w:rsidRPr="005C3289">
        <w:rPr>
          <w:rStyle w:val="None"/>
          <w:rFonts w:ascii="Times New Roman" w:hAnsi="Times New Roman" w:cs="Times New Roman"/>
          <w:sz w:val="24"/>
          <w:szCs w:val="24"/>
          <w:highlight w:val="yellow"/>
        </w:rPr>
        <w:t xml:space="preserve">” were </w:t>
      </w:r>
      <w:r w:rsidR="00016ACF" w:rsidRPr="005C3289">
        <w:rPr>
          <w:rStyle w:val="None"/>
          <w:rFonts w:ascii="Times New Roman" w:hAnsi="Times New Roman" w:cs="Times New Roman"/>
          <w:sz w:val="24"/>
          <w:szCs w:val="24"/>
          <w:highlight w:val="yellow"/>
        </w:rPr>
        <w:t>cleared of entries to make them blank</w:t>
      </w:r>
      <w:r w:rsidR="002138EA" w:rsidRPr="005C3289">
        <w:rPr>
          <w:rStyle w:val="None"/>
          <w:rFonts w:ascii="Times New Roman" w:hAnsi="Times New Roman" w:cs="Times New Roman"/>
          <w:sz w:val="24"/>
          <w:szCs w:val="24"/>
        </w:rPr>
        <w:t xml:space="preserve"> (</w:t>
      </w:r>
      <w:r w:rsidR="002138EA" w:rsidRPr="005C3289">
        <w:rPr>
          <w:rStyle w:val="None"/>
          <w:rFonts w:ascii="Times New Roman" w:hAnsi="Times New Roman" w:cs="Times New Roman"/>
          <w:b/>
          <w:bCs/>
          <w:sz w:val="24"/>
          <w:szCs w:val="24"/>
        </w:rPr>
        <w:t xml:space="preserve">Columns </w:t>
      </w:r>
      <w:r w:rsidR="00F21B60" w:rsidRPr="005C3289">
        <w:rPr>
          <w:rStyle w:val="None"/>
          <w:rFonts w:ascii="Times New Roman" w:hAnsi="Times New Roman" w:cs="Times New Roman"/>
          <w:b/>
          <w:bCs/>
          <w:sz w:val="24"/>
          <w:szCs w:val="24"/>
        </w:rPr>
        <w:t>P</w:t>
      </w:r>
      <w:r w:rsidR="002138EA" w:rsidRPr="005C3289">
        <w:rPr>
          <w:rStyle w:val="None"/>
          <w:rFonts w:ascii="Times New Roman" w:hAnsi="Times New Roman" w:cs="Times New Roman"/>
          <w:b/>
          <w:bCs/>
          <w:sz w:val="24"/>
          <w:szCs w:val="24"/>
        </w:rPr>
        <w:t xml:space="preserve"> and </w:t>
      </w:r>
      <w:r w:rsidR="00F21B60" w:rsidRPr="005C3289">
        <w:rPr>
          <w:rStyle w:val="None"/>
          <w:rFonts w:ascii="Times New Roman" w:hAnsi="Times New Roman" w:cs="Times New Roman"/>
          <w:b/>
          <w:bCs/>
          <w:sz w:val="24"/>
          <w:szCs w:val="24"/>
        </w:rPr>
        <w:t>Q</w:t>
      </w:r>
      <w:r w:rsidR="002138EA" w:rsidRPr="005C3289">
        <w:rPr>
          <w:rStyle w:val="None"/>
          <w:rFonts w:ascii="Times New Roman" w:hAnsi="Times New Roman" w:cs="Times New Roman"/>
          <w:sz w:val="24"/>
          <w:szCs w:val="24"/>
        </w:rPr>
        <w:t>)</w:t>
      </w:r>
      <w:commentRangeEnd w:id="4"/>
      <w:r w:rsidR="00074A3B" w:rsidRPr="005C3289">
        <w:rPr>
          <w:rStyle w:val="CommentReference"/>
          <w:rFonts w:ascii="Times New Roman" w:hAnsi="Times New Roman" w:cs="Times New Roman"/>
          <w:color w:val="auto"/>
          <w:sz w:val="24"/>
          <w:szCs w:val="24"/>
          <w:lang w:eastAsia="en-US"/>
        </w:rPr>
        <w:commentReference w:id="4"/>
      </w:r>
      <w:r w:rsidRPr="005C3289">
        <w:rPr>
          <w:rStyle w:val="None"/>
          <w:rFonts w:ascii="Times New Roman" w:hAnsi="Times New Roman" w:cs="Times New Roman"/>
          <w:sz w:val="24"/>
          <w:szCs w:val="24"/>
        </w:rPr>
        <w:t xml:space="preserve">. </w:t>
      </w:r>
    </w:p>
    <w:p w14:paraId="7FB6D2D8" w14:textId="61A52DF3" w:rsidR="00C11C90" w:rsidRPr="005C3289" w:rsidRDefault="002528F4" w:rsidP="00BD253E">
      <w:pPr>
        <w:pStyle w:val="BodyA"/>
        <w:numPr>
          <w:ilvl w:val="0"/>
          <w:numId w:val="2"/>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The “</w:t>
      </w:r>
      <w:r w:rsidRPr="005C3289">
        <w:rPr>
          <w:rStyle w:val="None"/>
          <w:rFonts w:ascii="Times New Roman" w:hAnsi="Times New Roman" w:cs="Times New Roman"/>
          <w:i/>
          <w:iCs/>
          <w:sz w:val="24"/>
          <w:szCs w:val="24"/>
        </w:rPr>
        <w:t>Overlap</w:t>
      </w:r>
      <w:r w:rsidRPr="005C3289">
        <w:rPr>
          <w:rStyle w:val="None"/>
          <w:rFonts w:ascii="Times New Roman" w:hAnsi="Times New Roman" w:cs="Times New Roman"/>
          <w:sz w:val="24"/>
          <w:szCs w:val="24"/>
        </w:rPr>
        <w:t xml:space="preserve">” column </w:t>
      </w:r>
      <w:r w:rsidR="005A26E2" w:rsidRPr="005C3289">
        <w:rPr>
          <w:rStyle w:val="None"/>
          <w:rFonts w:ascii="Times New Roman" w:hAnsi="Times New Roman" w:cs="Times New Roman"/>
          <w:sz w:val="24"/>
          <w:szCs w:val="24"/>
        </w:rPr>
        <w:t>(</w:t>
      </w:r>
      <w:r w:rsidR="005A26E2" w:rsidRPr="005C3289">
        <w:rPr>
          <w:rStyle w:val="None"/>
          <w:rFonts w:ascii="Times New Roman" w:hAnsi="Times New Roman" w:cs="Times New Roman"/>
          <w:b/>
          <w:bCs/>
          <w:sz w:val="24"/>
          <w:szCs w:val="24"/>
        </w:rPr>
        <w:t>Column</w:t>
      </w:r>
      <w:r w:rsidR="00C11C90" w:rsidRPr="005C3289">
        <w:rPr>
          <w:rStyle w:val="None"/>
          <w:rFonts w:ascii="Times New Roman" w:hAnsi="Times New Roman" w:cs="Times New Roman"/>
          <w:b/>
          <w:bCs/>
          <w:sz w:val="24"/>
          <w:szCs w:val="24"/>
        </w:rPr>
        <w:t xml:space="preserve"> W</w:t>
      </w:r>
      <w:r w:rsidR="005A26E2" w:rsidRPr="005C3289">
        <w:rPr>
          <w:rStyle w:val="None"/>
          <w:rFonts w:ascii="Times New Roman" w:hAnsi="Times New Roman" w:cs="Times New Roman"/>
          <w:sz w:val="24"/>
          <w:szCs w:val="24"/>
        </w:rPr>
        <w:t xml:space="preserve">) </w:t>
      </w:r>
      <w:r w:rsidRPr="005C3289">
        <w:rPr>
          <w:rStyle w:val="None"/>
          <w:rFonts w:ascii="Times New Roman" w:hAnsi="Times New Roman" w:cs="Times New Roman"/>
          <w:sz w:val="24"/>
          <w:szCs w:val="24"/>
        </w:rPr>
        <w:t xml:space="preserve">denotes amounts of finance that target both adaptation and mitigation simultaneously. Whenever financial support has targeted both adaptation and mitigation simultaneously, the amounts shown in the Overlap column are the same as the amounts shown in each of the columns </w:t>
      </w:r>
      <w:r w:rsidR="00C11C90" w:rsidRPr="005C3289">
        <w:rPr>
          <w:rStyle w:val="None"/>
          <w:rFonts w:ascii="Times New Roman" w:hAnsi="Times New Roman" w:cs="Times New Roman"/>
          <w:sz w:val="24"/>
          <w:szCs w:val="24"/>
        </w:rPr>
        <w:t>f</w:t>
      </w:r>
      <w:r w:rsidRPr="005C3289">
        <w:rPr>
          <w:rStyle w:val="None"/>
          <w:rFonts w:ascii="Times New Roman" w:hAnsi="Times New Roman" w:cs="Times New Roman"/>
          <w:sz w:val="24"/>
          <w:szCs w:val="24"/>
        </w:rPr>
        <w:t xml:space="preserve">or adaptation and mitigation. Therefore, to avoid double counting, </w:t>
      </w:r>
      <w:r w:rsidRPr="005C3289">
        <w:rPr>
          <w:rStyle w:val="None"/>
          <w:rFonts w:ascii="Times New Roman" w:hAnsi="Times New Roman" w:cs="Times New Roman"/>
          <w:sz w:val="24"/>
          <w:szCs w:val="24"/>
          <w:u w:val="single"/>
        </w:rPr>
        <w:t>in these rows where there is an Overlap amount</w:t>
      </w:r>
      <w:r w:rsidR="006B2B6E" w:rsidRPr="005C3289">
        <w:rPr>
          <w:rStyle w:val="None"/>
          <w:rFonts w:ascii="Times New Roman" w:hAnsi="Times New Roman" w:cs="Times New Roman"/>
          <w:sz w:val="24"/>
          <w:szCs w:val="24"/>
          <w:u w:val="single"/>
        </w:rPr>
        <w:t xml:space="preserve"> that is not zero,</w:t>
      </w:r>
      <w:r w:rsidRPr="005C3289">
        <w:rPr>
          <w:rStyle w:val="None"/>
          <w:rFonts w:ascii="Times New Roman" w:hAnsi="Times New Roman" w:cs="Times New Roman"/>
          <w:sz w:val="24"/>
          <w:szCs w:val="24"/>
          <w:u w:val="single"/>
        </w:rPr>
        <w:t xml:space="preserve"> the amounts under adaptation </w:t>
      </w:r>
      <w:r w:rsidR="00C11C90" w:rsidRPr="005C3289">
        <w:rPr>
          <w:rStyle w:val="None"/>
          <w:rFonts w:ascii="Times New Roman" w:hAnsi="Times New Roman" w:cs="Times New Roman"/>
          <w:sz w:val="24"/>
          <w:szCs w:val="24"/>
          <w:u w:val="single"/>
        </w:rPr>
        <w:t>(</w:t>
      </w:r>
      <w:r w:rsidR="00C11C90" w:rsidRPr="005C3289">
        <w:rPr>
          <w:rStyle w:val="None"/>
          <w:rFonts w:ascii="Times New Roman" w:hAnsi="Times New Roman" w:cs="Times New Roman"/>
          <w:b/>
          <w:bCs/>
          <w:sz w:val="24"/>
          <w:szCs w:val="24"/>
          <w:u w:val="single"/>
        </w:rPr>
        <w:t>Column S</w:t>
      </w:r>
      <w:r w:rsidR="00C11C90" w:rsidRPr="005C3289">
        <w:rPr>
          <w:rStyle w:val="None"/>
          <w:rFonts w:ascii="Times New Roman" w:hAnsi="Times New Roman" w:cs="Times New Roman"/>
          <w:sz w:val="24"/>
          <w:szCs w:val="24"/>
          <w:u w:val="single"/>
        </w:rPr>
        <w:t xml:space="preserve">) </w:t>
      </w:r>
      <w:r w:rsidRPr="005C3289">
        <w:rPr>
          <w:rStyle w:val="None"/>
          <w:rFonts w:ascii="Times New Roman" w:hAnsi="Times New Roman" w:cs="Times New Roman"/>
          <w:sz w:val="24"/>
          <w:szCs w:val="24"/>
          <w:u w:val="single"/>
        </w:rPr>
        <w:t xml:space="preserve">and mitigation </w:t>
      </w:r>
      <w:r w:rsidR="00C11C90" w:rsidRPr="005C3289">
        <w:rPr>
          <w:rStyle w:val="None"/>
          <w:rFonts w:ascii="Times New Roman" w:hAnsi="Times New Roman" w:cs="Times New Roman"/>
          <w:sz w:val="24"/>
          <w:szCs w:val="24"/>
          <w:u w:val="single"/>
        </w:rPr>
        <w:t>(</w:t>
      </w:r>
      <w:r w:rsidR="00C11C90" w:rsidRPr="005C3289">
        <w:rPr>
          <w:rStyle w:val="None"/>
          <w:rFonts w:ascii="Times New Roman" w:hAnsi="Times New Roman" w:cs="Times New Roman"/>
          <w:b/>
          <w:bCs/>
          <w:sz w:val="24"/>
          <w:szCs w:val="24"/>
          <w:u w:val="single"/>
        </w:rPr>
        <w:t>Column U</w:t>
      </w:r>
      <w:r w:rsidR="00C11C90" w:rsidRPr="005C3289">
        <w:rPr>
          <w:rStyle w:val="None"/>
          <w:rFonts w:ascii="Times New Roman" w:hAnsi="Times New Roman" w:cs="Times New Roman"/>
          <w:sz w:val="24"/>
          <w:szCs w:val="24"/>
          <w:u w:val="single"/>
        </w:rPr>
        <w:t xml:space="preserve">) </w:t>
      </w:r>
      <w:r w:rsidRPr="005C3289">
        <w:rPr>
          <w:rStyle w:val="None"/>
          <w:rFonts w:ascii="Times New Roman" w:hAnsi="Times New Roman" w:cs="Times New Roman"/>
          <w:sz w:val="24"/>
          <w:szCs w:val="24"/>
          <w:u w:val="single"/>
        </w:rPr>
        <w:t>were deleted</w:t>
      </w:r>
      <w:r w:rsidRPr="005C3289">
        <w:rPr>
          <w:rStyle w:val="None"/>
          <w:rFonts w:ascii="Times New Roman" w:hAnsi="Times New Roman" w:cs="Times New Roman"/>
          <w:sz w:val="24"/>
          <w:szCs w:val="24"/>
        </w:rPr>
        <w:t xml:space="preserve">. </w:t>
      </w:r>
    </w:p>
    <w:p w14:paraId="573510EC" w14:textId="77777777" w:rsidR="001F0569" w:rsidRPr="005C3289" w:rsidRDefault="002528F4" w:rsidP="00C11C90">
      <w:pPr>
        <w:pStyle w:val="BodyA"/>
        <w:ind w:left="720"/>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As a result</w:t>
      </w:r>
      <w:r w:rsidR="001F0569" w:rsidRPr="005C3289">
        <w:rPr>
          <w:rStyle w:val="None"/>
          <w:rFonts w:ascii="Times New Roman" w:hAnsi="Times New Roman" w:cs="Times New Roman"/>
          <w:sz w:val="24"/>
          <w:szCs w:val="24"/>
        </w:rPr>
        <w:t>:</w:t>
      </w:r>
    </w:p>
    <w:p w14:paraId="4FF2B6FD" w14:textId="45C5E874" w:rsidR="001F0569" w:rsidRPr="005C3289" w:rsidRDefault="001F0569" w:rsidP="00C46CC7">
      <w:pPr>
        <w:pStyle w:val="BodyA"/>
        <w:numPr>
          <w:ilvl w:val="0"/>
          <w:numId w:val="8"/>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w:t>
      </w:r>
      <w:r w:rsidR="002528F4" w:rsidRPr="005C3289">
        <w:rPr>
          <w:rStyle w:val="None"/>
          <w:rFonts w:ascii="Times New Roman" w:hAnsi="Times New Roman" w:cs="Times New Roman"/>
          <w:sz w:val="24"/>
          <w:szCs w:val="24"/>
        </w:rPr>
        <w:t>he amounts in the adaptation column (</w:t>
      </w:r>
      <w:r w:rsidR="002528F4" w:rsidRPr="005C3289">
        <w:rPr>
          <w:rStyle w:val="None"/>
          <w:rFonts w:ascii="Times New Roman" w:hAnsi="Times New Roman" w:cs="Times New Roman"/>
          <w:sz w:val="24"/>
          <w:szCs w:val="24"/>
          <w:rtl/>
          <w:lang w:val="ar-SA"/>
        </w:rPr>
        <w:t>“</w:t>
      </w:r>
      <w:r w:rsidR="002528F4" w:rsidRPr="005C3289">
        <w:rPr>
          <w:rStyle w:val="None"/>
          <w:rFonts w:ascii="Times New Roman" w:hAnsi="Times New Roman" w:cs="Times New Roman"/>
          <w:sz w:val="24"/>
          <w:szCs w:val="24"/>
        </w:rPr>
        <w:t>Adaptation-related development finance - Commitment - 2018 USD thousand</w:t>
      </w:r>
      <w:proofErr w:type="gramStart"/>
      <w:r w:rsidR="002528F4" w:rsidRPr="005C3289">
        <w:rPr>
          <w:rStyle w:val="None"/>
          <w:rFonts w:ascii="Times New Roman" w:hAnsi="Times New Roman" w:cs="Times New Roman"/>
          <w:sz w:val="24"/>
          <w:szCs w:val="24"/>
        </w:rPr>
        <w:t>”)</w:t>
      </w:r>
      <w:r w:rsidR="000D11D6" w:rsidRPr="005C3289">
        <w:rPr>
          <w:rStyle w:val="None"/>
          <w:rFonts w:ascii="Times New Roman" w:hAnsi="Times New Roman" w:cs="Times New Roman"/>
          <w:sz w:val="24"/>
          <w:szCs w:val="24"/>
        </w:rPr>
        <w:t>(</w:t>
      </w:r>
      <w:proofErr w:type="gramEnd"/>
      <w:r w:rsidR="000D11D6" w:rsidRPr="005C3289">
        <w:rPr>
          <w:rStyle w:val="None"/>
          <w:rFonts w:ascii="Times New Roman" w:hAnsi="Times New Roman" w:cs="Times New Roman"/>
          <w:b/>
          <w:bCs/>
          <w:sz w:val="24"/>
          <w:szCs w:val="24"/>
        </w:rPr>
        <w:t>Column S</w:t>
      </w:r>
      <w:r w:rsidR="000D11D6" w:rsidRPr="005C3289">
        <w:rPr>
          <w:rStyle w:val="None"/>
          <w:rFonts w:ascii="Times New Roman" w:hAnsi="Times New Roman" w:cs="Times New Roman"/>
          <w:sz w:val="24"/>
          <w:szCs w:val="24"/>
        </w:rPr>
        <w:t>)</w:t>
      </w:r>
      <w:r w:rsidR="002528F4" w:rsidRPr="005C3289">
        <w:rPr>
          <w:rStyle w:val="None"/>
          <w:rFonts w:ascii="Times New Roman" w:hAnsi="Times New Roman" w:cs="Times New Roman"/>
          <w:sz w:val="24"/>
          <w:szCs w:val="24"/>
        </w:rPr>
        <w:t xml:space="preserve"> represent the amounts reported exclusively for adaptation</w:t>
      </w:r>
      <w:r w:rsidR="000D11D6" w:rsidRPr="005C3289">
        <w:rPr>
          <w:rStyle w:val="None"/>
          <w:rFonts w:ascii="Times New Roman" w:hAnsi="Times New Roman" w:cs="Times New Roman"/>
          <w:sz w:val="24"/>
          <w:szCs w:val="24"/>
        </w:rPr>
        <w:t xml:space="preserve"> – </w:t>
      </w:r>
      <w:r w:rsidR="000D11D6" w:rsidRPr="005C3289">
        <w:rPr>
          <w:rStyle w:val="None"/>
          <w:rFonts w:ascii="Times New Roman" w:hAnsi="Times New Roman" w:cs="Times New Roman"/>
          <w:i/>
          <w:iCs/>
          <w:sz w:val="24"/>
          <w:szCs w:val="24"/>
        </w:rPr>
        <w:t>and will not be used in this study</w:t>
      </w:r>
      <w:r w:rsidR="00A23CA9" w:rsidRPr="005C3289">
        <w:rPr>
          <w:rStyle w:val="None"/>
          <w:rFonts w:ascii="Times New Roman" w:hAnsi="Times New Roman" w:cs="Times New Roman"/>
          <w:i/>
          <w:iCs/>
          <w:sz w:val="24"/>
          <w:szCs w:val="24"/>
        </w:rPr>
        <w:t xml:space="preserve"> since adaptation is excluded</w:t>
      </w:r>
      <w:r w:rsidR="00B02E8E" w:rsidRPr="005C3289">
        <w:rPr>
          <w:rStyle w:val="None"/>
          <w:rFonts w:ascii="Times New Roman" w:hAnsi="Times New Roman" w:cs="Times New Roman"/>
          <w:i/>
          <w:iCs/>
          <w:sz w:val="24"/>
          <w:szCs w:val="24"/>
        </w:rPr>
        <w:t xml:space="preserve"> from our analysis</w:t>
      </w:r>
      <w:r w:rsidR="002528F4" w:rsidRPr="005C3289">
        <w:rPr>
          <w:rStyle w:val="None"/>
          <w:rFonts w:ascii="Times New Roman" w:hAnsi="Times New Roman" w:cs="Times New Roman"/>
          <w:sz w:val="24"/>
          <w:szCs w:val="24"/>
        </w:rPr>
        <w:t xml:space="preserve">; </w:t>
      </w:r>
    </w:p>
    <w:p w14:paraId="2195D126" w14:textId="77777777" w:rsidR="001F0569" w:rsidRPr="005C3289" w:rsidRDefault="001F0569" w:rsidP="00C46CC7">
      <w:pPr>
        <w:pStyle w:val="BodyA"/>
        <w:numPr>
          <w:ilvl w:val="0"/>
          <w:numId w:val="8"/>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w:t>
      </w:r>
      <w:r w:rsidR="002528F4" w:rsidRPr="005C3289">
        <w:rPr>
          <w:rStyle w:val="None"/>
          <w:rFonts w:ascii="Times New Roman" w:hAnsi="Times New Roman" w:cs="Times New Roman"/>
          <w:sz w:val="24"/>
          <w:szCs w:val="24"/>
        </w:rPr>
        <w:t>he amounts in the mitigation column (Mitigation-related development finance - Commitment - 2018 USD thousand”)</w:t>
      </w:r>
      <w:r w:rsidR="000D11D6" w:rsidRPr="005C3289">
        <w:rPr>
          <w:rStyle w:val="None"/>
          <w:rFonts w:ascii="Times New Roman" w:hAnsi="Times New Roman" w:cs="Times New Roman"/>
          <w:sz w:val="24"/>
          <w:szCs w:val="24"/>
        </w:rPr>
        <w:t xml:space="preserve"> (</w:t>
      </w:r>
      <w:r w:rsidR="000D11D6" w:rsidRPr="005C3289">
        <w:rPr>
          <w:rStyle w:val="None"/>
          <w:rFonts w:ascii="Times New Roman" w:hAnsi="Times New Roman" w:cs="Times New Roman"/>
          <w:b/>
          <w:bCs/>
          <w:sz w:val="24"/>
          <w:szCs w:val="24"/>
        </w:rPr>
        <w:t>Column U</w:t>
      </w:r>
      <w:r w:rsidR="000D11D6" w:rsidRPr="005C3289">
        <w:rPr>
          <w:rStyle w:val="None"/>
          <w:rFonts w:ascii="Times New Roman" w:hAnsi="Times New Roman" w:cs="Times New Roman"/>
          <w:sz w:val="24"/>
          <w:szCs w:val="24"/>
        </w:rPr>
        <w:t>)</w:t>
      </w:r>
      <w:r w:rsidR="002528F4" w:rsidRPr="005C3289">
        <w:rPr>
          <w:rStyle w:val="None"/>
          <w:rFonts w:ascii="Times New Roman" w:hAnsi="Times New Roman" w:cs="Times New Roman"/>
          <w:sz w:val="24"/>
          <w:szCs w:val="24"/>
        </w:rPr>
        <w:t xml:space="preserve"> represent amounts exclusively for </w:t>
      </w:r>
      <w:proofErr w:type="gramStart"/>
      <w:r w:rsidR="002528F4" w:rsidRPr="005C3289">
        <w:rPr>
          <w:rStyle w:val="None"/>
          <w:rFonts w:ascii="Times New Roman" w:hAnsi="Times New Roman" w:cs="Times New Roman"/>
          <w:sz w:val="24"/>
          <w:szCs w:val="24"/>
        </w:rPr>
        <w:t>mitigation;</w:t>
      </w:r>
      <w:proofErr w:type="gramEnd"/>
      <w:r w:rsidR="002528F4" w:rsidRPr="005C3289">
        <w:rPr>
          <w:rStyle w:val="None"/>
          <w:rFonts w:ascii="Times New Roman" w:hAnsi="Times New Roman" w:cs="Times New Roman"/>
          <w:sz w:val="24"/>
          <w:szCs w:val="24"/>
        </w:rPr>
        <w:t xml:space="preserve"> </w:t>
      </w:r>
    </w:p>
    <w:p w14:paraId="0E60079C" w14:textId="0126E0ED" w:rsidR="006E3A88" w:rsidRPr="005C3289" w:rsidRDefault="001F0569" w:rsidP="00C46CC7">
      <w:pPr>
        <w:pStyle w:val="BodyA"/>
        <w:numPr>
          <w:ilvl w:val="0"/>
          <w:numId w:val="8"/>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w:t>
      </w:r>
      <w:r w:rsidR="002528F4" w:rsidRPr="005C3289">
        <w:rPr>
          <w:rStyle w:val="None"/>
          <w:rFonts w:ascii="Times New Roman" w:hAnsi="Times New Roman" w:cs="Times New Roman"/>
          <w:sz w:val="24"/>
          <w:szCs w:val="24"/>
        </w:rPr>
        <w:t>he amounts in the Overall column (</w:t>
      </w:r>
      <w:r w:rsidR="002528F4" w:rsidRPr="005C3289">
        <w:rPr>
          <w:rStyle w:val="None"/>
          <w:rFonts w:ascii="Times New Roman" w:hAnsi="Times New Roman" w:cs="Times New Roman"/>
          <w:sz w:val="24"/>
          <w:szCs w:val="24"/>
          <w:rtl/>
          <w:lang w:val="ar-SA"/>
        </w:rPr>
        <w:t>“</w:t>
      </w:r>
      <w:r w:rsidR="002528F4" w:rsidRPr="005C3289">
        <w:rPr>
          <w:rStyle w:val="None"/>
          <w:rFonts w:ascii="Times New Roman" w:hAnsi="Times New Roman" w:cs="Times New Roman"/>
          <w:sz w:val="24"/>
          <w:szCs w:val="24"/>
        </w:rPr>
        <w:t xml:space="preserve">Overlap - Commitment - 2018 USD thousand”) </w:t>
      </w:r>
      <w:r w:rsidR="000D11D6" w:rsidRPr="005C3289">
        <w:rPr>
          <w:rStyle w:val="None"/>
          <w:rFonts w:ascii="Times New Roman" w:hAnsi="Times New Roman" w:cs="Times New Roman"/>
          <w:sz w:val="24"/>
          <w:szCs w:val="24"/>
        </w:rPr>
        <w:t>(</w:t>
      </w:r>
      <w:r w:rsidR="000D11D6" w:rsidRPr="005C3289">
        <w:rPr>
          <w:rStyle w:val="None"/>
          <w:rFonts w:ascii="Times New Roman" w:hAnsi="Times New Roman" w:cs="Times New Roman"/>
          <w:b/>
          <w:bCs/>
          <w:sz w:val="24"/>
          <w:szCs w:val="24"/>
        </w:rPr>
        <w:t>Column W</w:t>
      </w:r>
      <w:r w:rsidR="000D11D6" w:rsidRPr="005C3289">
        <w:rPr>
          <w:rStyle w:val="None"/>
          <w:rFonts w:ascii="Times New Roman" w:hAnsi="Times New Roman" w:cs="Times New Roman"/>
          <w:sz w:val="24"/>
          <w:szCs w:val="24"/>
        </w:rPr>
        <w:t xml:space="preserve">) </w:t>
      </w:r>
      <w:r w:rsidR="002528F4" w:rsidRPr="005C3289">
        <w:rPr>
          <w:rStyle w:val="None"/>
          <w:rFonts w:ascii="Times New Roman" w:hAnsi="Times New Roman" w:cs="Times New Roman"/>
          <w:sz w:val="24"/>
          <w:szCs w:val="24"/>
        </w:rPr>
        <w:t xml:space="preserve">are amounts targeted to both objectives simultaneously. </w:t>
      </w:r>
    </w:p>
    <w:p w14:paraId="2E10A1E4" w14:textId="77777777" w:rsidR="006E3A88" w:rsidRPr="005C3289" w:rsidRDefault="006E3A88" w:rsidP="006E3A88">
      <w:pPr>
        <w:pStyle w:val="BodyA"/>
        <w:jc w:val="both"/>
        <w:rPr>
          <w:rFonts w:ascii="Times New Roman" w:hAnsi="Times New Roman" w:cs="Times New Roman"/>
          <w:sz w:val="24"/>
          <w:szCs w:val="24"/>
        </w:rPr>
      </w:pPr>
    </w:p>
    <w:p w14:paraId="604921F8" w14:textId="227643B8" w:rsidR="006E3A88" w:rsidRPr="005C3289" w:rsidRDefault="006E3A88" w:rsidP="006E3A88">
      <w:pPr>
        <w:pStyle w:val="BodyA"/>
        <w:jc w:val="both"/>
        <w:rPr>
          <w:rFonts w:ascii="Times New Roman" w:hAnsi="Times New Roman" w:cs="Times New Roman"/>
          <w:sz w:val="24"/>
          <w:szCs w:val="24"/>
        </w:rPr>
      </w:pPr>
      <w:r w:rsidRPr="005C3289">
        <w:rPr>
          <w:rFonts w:ascii="Times New Roman" w:hAnsi="Times New Roman" w:cs="Times New Roman"/>
          <w:sz w:val="24"/>
          <w:szCs w:val="24"/>
        </w:rPr>
        <w:t>This is the interim data set we will use. Before we concentrate only on the purpose (sub-sector) codes identified in the CRUX methodology, we will:</w:t>
      </w:r>
    </w:p>
    <w:p w14:paraId="6B46408A" w14:textId="6232BE91" w:rsidR="006E3A88" w:rsidRPr="005C3289" w:rsidRDefault="003262F1" w:rsidP="006E3A88">
      <w:pPr>
        <w:pStyle w:val="BodyA"/>
        <w:numPr>
          <w:ilvl w:val="0"/>
          <w:numId w:val="2"/>
        </w:numPr>
        <w:jc w:val="both"/>
        <w:rPr>
          <w:rFonts w:ascii="Times New Roman" w:hAnsi="Times New Roman" w:cs="Times New Roman"/>
          <w:sz w:val="24"/>
          <w:szCs w:val="24"/>
        </w:rPr>
      </w:pPr>
      <w:r w:rsidRPr="005C3289">
        <w:rPr>
          <w:rFonts w:ascii="Times New Roman" w:hAnsi="Times New Roman" w:cs="Times New Roman"/>
          <w:sz w:val="24"/>
          <w:szCs w:val="24"/>
        </w:rPr>
        <w:t xml:space="preserve">Conduct a keyword search in the </w:t>
      </w:r>
      <w:r w:rsidRPr="005C3289">
        <w:rPr>
          <w:rFonts w:ascii="Times New Roman" w:hAnsi="Times New Roman" w:cs="Times New Roman"/>
          <w:i/>
          <w:iCs/>
          <w:sz w:val="24"/>
          <w:szCs w:val="24"/>
        </w:rPr>
        <w:t>title / description columns</w:t>
      </w:r>
      <w:r w:rsidRPr="005C3289">
        <w:rPr>
          <w:rFonts w:ascii="Times New Roman" w:hAnsi="Times New Roman" w:cs="Times New Roman"/>
          <w:sz w:val="24"/>
          <w:szCs w:val="24"/>
        </w:rPr>
        <w:t xml:space="preserve"> </w:t>
      </w:r>
      <w:r w:rsidR="00E5191F" w:rsidRPr="005C3289">
        <w:rPr>
          <w:rFonts w:ascii="Times New Roman" w:hAnsi="Times New Roman" w:cs="Times New Roman"/>
          <w:sz w:val="24"/>
          <w:szCs w:val="24"/>
        </w:rPr>
        <w:t>(</w:t>
      </w:r>
      <w:r w:rsidR="00E5191F" w:rsidRPr="005C3289">
        <w:rPr>
          <w:rFonts w:ascii="Times New Roman" w:hAnsi="Times New Roman" w:cs="Times New Roman"/>
          <w:b/>
          <w:bCs/>
          <w:sz w:val="24"/>
          <w:szCs w:val="24"/>
        </w:rPr>
        <w:t>Columns AH and AI</w:t>
      </w:r>
      <w:r w:rsidR="00E5191F" w:rsidRPr="005C3289">
        <w:rPr>
          <w:rFonts w:ascii="Times New Roman" w:hAnsi="Times New Roman" w:cs="Times New Roman"/>
          <w:sz w:val="24"/>
          <w:szCs w:val="24"/>
        </w:rPr>
        <w:t xml:space="preserve">) </w:t>
      </w:r>
      <w:r w:rsidRPr="005C3289">
        <w:rPr>
          <w:rFonts w:ascii="Times New Roman" w:hAnsi="Times New Roman" w:cs="Times New Roman"/>
          <w:sz w:val="24"/>
          <w:szCs w:val="24"/>
        </w:rPr>
        <w:t>for ‘</w:t>
      </w:r>
      <w:commentRangeStart w:id="5"/>
      <w:commentRangeStart w:id="6"/>
      <w:r w:rsidRPr="005C3289">
        <w:rPr>
          <w:rFonts w:ascii="Times New Roman" w:hAnsi="Times New Roman" w:cs="Times New Roman"/>
          <w:sz w:val="24"/>
          <w:szCs w:val="24"/>
          <w:highlight w:val="yellow"/>
        </w:rPr>
        <w:t>capacity’, policy’, ‘technical assistance’, ‘TA</w:t>
      </w:r>
      <w:commentRangeEnd w:id="5"/>
      <w:r w:rsidR="00E5191F" w:rsidRPr="005C3289">
        <w:rPr>
          <w:rStyle w:val="CommentReference"/>
          <w:rFonts w:ascii="Times New Roman" w:hAnsi="Times New Roman" w:cs="Times New Roman"/>
          <w:color w:val="auto"/>
          <w:sz w:val="24"/>
          <w:szCs w:val="24"/>
          <w:lang w:eastAsia="en-US"/>
        </w:rPr>
        <w:commentReference w:id="5"/>
      </w:r>
      <w:commentRangeEnd w:id="6"/>
      <w:r w:rsidR="000762A3" w:rsidRPr="005C3289">
        <w:rPr>
          <w:rStyle w:val="CommentReference"/>
          <w:rFonts w:ascii="Times New Roman" w:hAnsi="Times New Roman" w:cs="Times New Roman"/>
          <w:color w:val="auto"/>
          <w:sz w:val="24"/>
          <w:szCs w:val="24"/>
          <w:lang w:eastAsia="en-US"/>
        </w:rPr>
        <w:commentReference w:id="6"/>
      </w:r>
      <w:r w:rsidRPr="005C3289">
        <w:rPr>
          <w:rFonts w:ascii="Times New Roman" w:hAnsi="Times New Roman" w:cs="Times New Roman"/>
          <w:sz w:val="24"/>
          <w:szCs w:val="24"/>
          <w:highlight w:val="yellow"/>
        </w:rPr>
        <w:t>’</w:t>
      </w:r>
      <w:r w:rsidR="005244A8" w:rsidRPr="005C3289">
        <w:rPr>
          <w:rFonts w:ascii="Times New Roman" w:hAnsi="Times New Roman" w:cs="Times New Roman"/>
          <w:sz w:val="24"/>
          <w:szCs w:val="24"/>
        </w:rPr>
        <w:t xml:space="preserve">, </w:t>
      </w:r>
      <w:proofErr w:type="gramStart"/>
      <w:r w:rsidR="00FC6E81" w:rsidRPr="005C3289">
        <w:rPr>
          <w:rFonts w:ascii="Times New Roman" w:eastAsia="Times New Roman" w:hAnsi="Times New Roman" w:cs="Times New Roman"/>
          <w:sz w:val="24"/>
          <w:szCs w:val="24"/>
          <w:lang w:bidi="th-TH"/>
        </w:rPr>
        <w:t>‘ energy</w:t>
      </w:r>
      <w:proofErr w:type="gramEnd"/>
      <w:r w:rsidR="00FC6E81" w:rsidRPr="005C3289">
        <w:rPr>
          <w:rFonts w:ascii="Times New Roman" w:eastAsia="Times New Roman" w:hAnsi="Times New Roman" w:cs="Times New Roman"/>
          <w:sz w:val="24"/>
          <w:szCs w:val="24"/>
          <w:lang w:bidi="th-TH"/>
        </w:rPr>
        <w:t xml:space="preserve"> access’, ‘energy efficiency’ and ‘climate finance’</w:t>
      </w:r>
      <w:r w:rsidRPr="005C3289">
        <w:rPr>
          <w:rFonts w:ascii="Times New Roman" w:hAnsi="Times New Roman" w:cs="Times New Roman"/>
          <w:sz w:val="24"/>
          <w:szCs w:val="24"/>
        </w:rPr>
        <w:t xml:space="preserve"> All transactions that record a positive result (i.e. include one or more of these terms) will be copied into a separate spreadsheet, for subsequent inspection. </w:t>
      </w:r>
    </w:p>
    <w:p w14:paraId="0BB115CC" w14:textId="5F49911B" w:rsidR="006B2B6E" w:rsidRPr="005C3289" w:rsidRDefault="003262F1" w:rsidP="00A42D1E">
      <w:pPr>
        <w:pStyle w:val="BodyA"/>
        <w:numPr>
          <w:ilvl w:val="0"/>
          <w:numId w:val="2"/>
        </w:numPr>
        <w:jc w:val="both"/>
        <w:rPr>
          <w:rFonts w:ascii="Times New Roman" w:hAnsi="Times New Roman" w:cs="Times New Roman"/>
          <w:sz w:val="24"/>
          <w:szCs w:val="24"/>
        </w:rPr>
      </w:pPr>
      <w:r w:rsidRPr="005C3289">
        <w:rPr>
          <w:rFonts w:ascii="Times New Roman" w:hAnsi="Times New Roman" w:cs="Times New Roman"/>
          <w:sz w:val="24"/>
          <w:szCs w:val="24"/>
        </w:rPr>
        <w:t xml:space="preserve">Reviewing these transactions, identify all </w:t>
      </w:r>
      <w:r w:rsidRPr="005C3289">
        <w:rPr>
          <w:rFonts w:ascii="Times New Roman" w:hAnsi="Times New Roman" w:cs="Times New Roman"/>
          <w:sz w:val="24"/>
          <w:szCs w:val="24"/>
          <w:u w:val="single"/>
        </w:rPr>
        <w:t>those that are not coded using any of the purpose (sub-sector) codes identified by the CRUX methodology</w:t>
      </w:r>
      <w:r w:rsidRPr="005C3289">
        <w:rPr>
          <w:rFonts w:ascii="Times New Roman" w:hAnsi="Times New Roman" w:cs="Times New Roman"/>
          <w:sz w:val="24"/>
          <w:szCs w:val="24"/>
        </w:rPr>
        <w:t xml:space="preserve">. </w:t>
      </w:r>
      <w:r w:rsidR="00A42D1E" w:rsidRPr="005C3289">
        <w:rPr>
          <w:rFonts w:ascii="Times New Roman" w:hAnsi="Times New Roman" w:cs="Times New Roman"/>
          <w:sz w:val="24"/>
          <w:szCs w:val="24"/>
        </w:rPr>
        <w:t>Copy these into a new spread</w:t>
      </w:r>
      <w:r w:rsidR="009D5806" w:rsidRPr="005C3289">
        <w:rPr>
          <w:rFonts w:ascii="Times New Roman" w:hAnsi="Times New Roman" w:cs="Times New Roman"/>
          <w:sz w:val="24"/>
          <w:szCs w:val="24"/>
        </w:rPr>
        <w:t>sheet</w:t>
      </w:r>
      <w:r w:rsidR="00A42D1E" w:rsidRPr="005C3289">
        <w:rPr>
          <w:rFonts w:ascii="Times New Roman" w:hAnsi="Times New Roman" w:cs="Times New Roman"/>
          <w:sz w:val="24"/>
          <w:szCs w:val="24"/>
        </w:rPr>
        <w:t xml:space="preserve"> and k</w:t>
      </w:r>
      <w:r w:rsidRPr="005C3289">
        <w:rPr>
          <w:rFonts w:ascii="Times New Roman" w:hAnsi="Times New Roman" w:cs="Times New Roman"/>
          <w:sz w:val="24"/>
          <w:szCs w:val="24"/>
        </w:rPr>
        <w:t>eep these transactions separate</w:t>
      </w:r>
      <w:r w:rsidR="00DA3608" w:rsidRPr="005C3289">
        <w:rPr>
          <w:rFonts w:ascii="Times New Roman" w:hAnsi="Times New Roman" w:cs="Times New Roman"/>
          <w:sz w:val="24"/>
          <w:szCs w:val="24"/>
        </w:rPr>
        <w:t xml:space="preserve"> </w:t>
      </w:r>
      <w:r w:rsidR="00A42D1E" w:rsidRPr="005C3289">
        <w:rPr>
          <w:rFonts w:ascii="Times New Roman" w:hAnsi="Times New Roman" w:cs="Times New Roman"/>
          <w:sz w:val="24"/>
          <w:szCs w:val="24"/>
        </w:rPr>
        <w:t>(</w:t>
      </w:r>
      <w:r w:rsidR="00DA3608" w:rsidRPr="005C3289">
        <w:rPr>
          <w:rFonts w:ascii="Times New Roman" w:hAnsi="Times New Roman" w:cs="Times New Roman"/>
          <w:sz w:val="24"/>
          <w:szCs w:val="24"/>
        </w:rPr>
        <w:t xml:space="preserve">since these are additional relevant transactions to the data </w:t>
      </w:r>
      <w:proofErr w:type="gramStart"/>
      <w:r w:rsidR="00DA3608" w:rsidRPr="005C3289">
        <w:rPr>
          <w:rFonts w:ascii="Times New Roman" w:hAnsi="Times New Roman" w:cs="Times New Roman"/>
          <w:sz w:val="24"/>
          <w:szCs w:val="24"/>
        </w:rPr>
        <w:t>set</w:t>
      </w:r>
      <w:proofErr w:type="gramEnd"/>
      <w:r w:rsidR="00DA3608" w:rsidRPr="005C3289">
        <w:rPr>
          <w:rFonts w:ascii="Times New Roman" w:hAnsi="Times New Roman" w:cs="Times New Roman"/>
          <w:sz w:val="24"/>
          <w:szCs w:val="24"/>
        </w:rPr>
        <w:t xml:space="preserve"> we obtain in the next step and will </w:t>
      </w:r>
      <w:r w:rsidRPr="005C3289">
        <w:rPr>
          <w:rFonts w:ascii="Times New Roman" w:hAnsi="Times New Roman" w:cs="Times New Roman"/>
          <w:sz w:val="24"/>
          <w:szCs w:val="24"/>
        </w:rPr>
        <w:t>be re-integrated back into the final dataset after the following steps</w:t>
      </w:r>
      <w:r w:rsidR="00A42D1E" w:rsidRPr="005C3289">
        <w:rPr>
          <w:rFonts w:ascii="Times New Roman" w:hAnsi="Times New Roman" w:cs="Times New Roman"/>
          <w:sz w:val="24"/>
          <w:szCs w:val="24"/>
        </w:rPr>
        <w:t>)</w:t>
      </w:r>
      <w:r w:rsidRPr="005C3289">
        <w:rPr>
          <w:rFonts w:ascii="Times New Roman" w:hAnsi="Times New Roman" w:cs="Times New Roman"/>
          <w:sz w:val="24"/>
          <w:szCs w:val="24"/>
        </w:rPr>
        <w:t>.</w:t>
      </w:r>
    </w:p>
    <w:p w14:paraId="77D066BE" w14:textId="04A0303F" w:rsidR="00A42D1E" w:rsidRPr="005C3289" w:rsidRDefault="00A42D1E" w:rsidP="00A42D1E">
      <w:pPr>
        <w:pStyle w:val="BodyA"/>
        <w:numPr>
          <w:ilvl w:val="0"/>
          <w:numId w:val="2"/>
        </w:numPr>
        <w:jc w:val="both"/>
        <w:rPr>
          <w:rFonts w:ascii="Times New Roman" w:hAnsi="Times New Roman" w:cs="Times New Roman"/>
          <w:sz w:val="24"/>
          <w:szCs w:val="24"/>
        </w:rPr>
      </w:pPr>
      <w:r w:rsidRPr="005C3289">
        <w:rPr>
          <w:rFonts w:ascii="Times New Roman" w:hAnsi="Times New Roman" w:cs="Times New Roman"/>
          <w:sz w:val="24"/>
          <w:szCs w:val="24"/>
        </w:rPr>
        <w:lastRenderedPageBreak/>
        <w:t xml:space="preserve">Review these, to determine which if any sound relevant for the scope of this study. Some of the keyword entries may not actually sound relevant once they are reviewed, in which case we should remove them from the data. For transparency, we should keep the full list but </w:t>
      </w:r>
      <w:proofErr w:type="gramStart"/>
      <w:r w:rsidRPr="005C3289">
        <w:rPr>
          <w:rFonts w:ascii="Times New Roman" w:hAnsi="Times New Roman" w:cs="Times New Roman"/>
          <w:sz w:val="24"/>
          <w:szCs w:val="24"/>
        </w:rPr>
        <w:t>e.g.</w:t>
      </w:r>
      <w:proofErr w:type="gramEnd"/>
      <w:r w:rsidRPr="005C3289">
        <w:rPr>
          <w:rFonts w:ascii="Times New Roman" w:hAnsi="Times New Roman" w:cs="Times New Roman"/>
          <w:sz w:val="24"/>
          <w:szCs w:val="24"/>
        </w:rPr>
        <w:t xml:space="preserve"> highlight those that do not seem relevant in RED.</w:t>
      </w:r>
    </w:p>
    <w:p w14:paraId="5C7579B7" w14:textId="77777777" w:rsidR="006B2B6E" w:rsidRPr="005C3289" w:rsidRDefault="006B2B6E" w:rsidP="006B2B6E">
      <w:pPr>
        <w:pStyle w:val="BodyA"/>
        <w:jc w:val="both"/>
        <w:rPr>
          <w:rStyle w:val="None"/>
          <w:rFonts w:ascii="Times New Roman" w:hAnsi="Times New Roman" w:cs="Times New Roman"/>
          <w:sz w:val="24"/>
          <w:szCs w:val="24"/>
        </w:rPr>
      </w:pPr>
    </w:p>
    <w:p w14:paraId="7C9B0F0A" w14:textId="23CF22C4" w:rsidR="006B2B6E" w:rsidRPr="005C3289" w:rsidRDefault="006B2B6E" w:rsidP="006B2B6E">
      <w:pPr>
        <w:pStyle w:val="BodyA"/>
        <w:jc w:val="both"/>
        <w:rPr>
          <w:rFonts w:ascii="Times New Roman" w:hAnsi="Times New Roman" w:cs="Times New Roman"/>
          <w:sz w:val="24"/>
          <w:szCs w:val="24"/>
        </w:rPr>
      </w:pPr>
      <w:r w:rsidRPr="005C3289">
        <w:rPr>
          <w:rStyle w:val="None"/>
          <w:rFonts w:ascii="Times New Roman" w:hAnsi="Times New Roman" w:cs="Times New Roman"/>
          <w:sz w:val="24"/>
          <w:szCs w:val="24"/>
        </w:rPr>
        <w:t>Then, we further refine the interim data set by filtering the purpose (sub-sector) codes column so that the data contains only those codes identified in the CRUX methodology:</w:t>
      </w:r>
    </w:p>
    <w:p w14:paraId="55C2CA98" w14:textId="66C11CE4" w:rsidR="00AE5FCB" w:rsidRPr="005C3289" w:rsidRDefault="003262F1" w:rsidP="006B2B6E">
      <w:pPr>
        <w:pStyle w:val="BodyA"/>
        <w:numPr>
          <w:ilvl w:val="0"/>
          <w:numId w:val="2"/>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Filter data set to remove all transactions other than those with purpose codes</w:t>
      </w:r>
      <w:r w:rsidR="008640B6" w:rsidRPr="005C3289">
        <w:rPr>
          <w:rStyle w:val="None"/>
          <w:rFonts w:ascii="Times New Roman" w:hAnsi="Times New Roman" w:cs="Times New Roman"/>
          <w:sz w:val="24"/>
          <w:szCs w:val="24"/>
        </w:rPr>
        <w:t xml:space="preserve"> (</w:t>
      </w:r>
      <w:commentRangeStart w:id="7"/>
      <w:commentRangeStart w:id="8"/>
      <w:r w:rsidR="008640B6" w:rsidRPr="005C3289">
        <w:rPr>
          <w:rStyle w:val="None"/>
          <w:rFonts w:ascii="Times New Roman" w:hAnsi="Times New Roman" w:cs="Times New Roman"/>
          <w:b/>
          <w:bCs/>
          <w:sz w:val="24"/>
          <w:szCs w:val="24"/>
        </w:rPr>
        <w:t>Column AB</w:t>
      </w:r>
      <w:commentRangeEnd w:id="7"/>
      <w:r w:rsidR="008640B6" w:rsidRPr="005C3289">
        <w:rPr>
          <w:rStyle w:val="CommentReference"/>
          <w:rFonts w:ascii="Times New Roman" w:hAnsi="Times New Roman" w:cs="Times New Roman"/>
          <w:color w:val="auto"/>
          <w:sz w:val="24"/>
          <w:szCs w:val="24"/>
          <w:lang w:eastAsia="en-US"/>
        </w:rPr>
        <w:commentReference w:id="7"/>
      </w:r>
      <w:commentRangeEnd w:id="8"/>
      <w:r w:rsidR="000E66F0" w:rsidRPr="005C3289">
        <w:rPr>
          <w:rStyle w:val="CommentReference"/>
          <w:rFonts w:ascii="Times New Roman" w:hAnsi="Times New Roman" w:cs="Times New Roman"/>
          <w:color w:val="auto"/>
          <w:sz w:val="24"/>
          <w:szCs w:val="24"/>
          <w:lang w:eastAsia="en-US"/>
        </w:rPr>
        <w:commentReference w:id="8"/>
      </w:r>
      <w:r w:rsidR="008640B6" w:rsidRPr="005C3289">
        <w:rPr>
          <w:rStyle w:val="None"/>
          <w:rFonts w:ascii="Times New Roman" w:hAnsi="Times New Roman" w:cs="Times New Roman"/>
          <w:sz w:val="24"/>
          <w:szCs w:val="24"/>
        </w:rPr>
        <w:t xml:space="preserve">): </w:t>
      </w:r>
    </w:p>
    <w:p w14:paraId="197E4A12" w14:textId="3F680F70" w:rsidR="008207E7" w:rsidRPr="005C3289" w:rsidRDefault="008207E7" w:rsidP="008207E7">
      <w:pPr>
        <w:pStyle w:val="BodyA"/>
        <w:numPr>
          <w:ilvl w:val="0"/>
          <w:numId w:val="15"/>
        </w:numPr>
        <w:jc w:val="both"/>
        <w:rPr>
          <w:rStyle w:val="None"/>
          <w:rFonts w:ascii="Times New Roman" w:hAnsi="Times New Roman" w:cs="Times New Roman"/>
          <w:sz w:val="24"/>
          <w:szCs w:val="24"/>
        </w:rPr>
      </w:pPr>
      <w:r w:rsidRPr="005C3289">
        <w:rPr>
          <w:rFonts w:ascii="Times New Roman" w:hAnsi="Times New Roman" w:cs="Times New Roman"/>
          <w:sz w:val="24"/>
          <w:szCs w:val="24"/>
        </w:rPr>
        <w:t>Transport and storage secto</w:t>
      </w:r>
      <w:r w:rsidRPr="005C3289">
        <w:rPr>
          <w:rFonts w:ascii="Times New Roman" w:hAnsi="Times New Roman" w:cs="Times New Roman"/>
          <w:sz w:val="24"/>
          <w:szCs w:val="24"/>
        </w:rPr>
        <w:t>r</w:t>
      </w:r>
      <w:r w:rsidRPr="005C3289">
        <w:rPr>
          <w:rFonts w:ascii="Times New Roman" w:hAnsi="Times New Roman" w:cs="Times New Roman"/>
          <w:sz w:val="24"/>
          <w:szCs w:val="24"/>
        </w:rPr>
        <w:t xml:space="preserve">  </w:t>
      </w:r>
    </w:p>
    <w:p w14:paraId="06CEB380" w14:textId="632E7F34" w:rsidR="00AE5FCB" w:rsidRPr="005C3289" w:rsidRDefault="008640B6"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21010 Transport policy and administrative management (Transport and storage sector</w:t>
      </w:r>
      <w:proofErr w:type="gramStart"/>
      <w:r w:rsidRPr="005C3289">
        <w:rPr>
          <w:rFonts w:ascii="Times New Roman" w:hAnsi="Times New Roman" w:cs="Times New Roman"/>
          <w:sz w:val="24"/>
          <w:szCs w:val="24"/>
        </w:rPr>
        <w:t>);</w:t>
      </w:r>
      <w:proofErr w:type="gramEnd"/>
      <w:r w:rsidRPr="005C3289">
        <w:rPr>
          <w:rFonts w:ascii="Times New Roman" w:hAnsi="Times New Roman" w:cs="Times New Roman"/>
          <w:sz w:val="24"/>
          <w:szCs w:val="24"/>
        </w:rPr>
        <w:t xml:space="preserve">  </w:t>
      </w:r>
    </w:p>
    <w:p w14:paraId="09D2E0D6" w14:textId="3D1DA74A" w:rsidR="00FD0E6F" w:rsidRPr="005C3289" w:rsidRDefault="00FD0E6F"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 xml:space="preserve">21050 Air transport </w:t>
      </w:r>
      <w:r w:rsidRPr="005C3289">
        <w:rPr>
          <w:rFonts w:ascii="Times New Roman" w:hAnsi="Times New Roman" w:cs="Times New Roman"/>
          <w:sz w:val="24"/>
          <w:szCs w:val="24"/>
        </w:rPr>
        <w:t>(Transport and storage sector</w:t>
      </w:r>
      <w:proofErr w:type="gramStart"/>
      <w:r w:rsidRPr="005C3289">
        <w:rPr>
          <w:rFonts w:ascii="Times New Roman" w:hAnsi="Times New Roman" w:cs="Times New Roman"/>
          <w:sz w:val="24"/>
          <w:szCs w:val="24"/>
        </w:rPr>
        <w:t>)</w:t>
      </w:r>
      <w:r w:rsidRPr="005C3289">
        <w:rPr>
          <w:rFonts w:ascii="Times New Roman" w:hAnsi="Times New Roman" w:cs="Times New Roman"/>
          <w:sz w:val="24"/>
          <w:szCs w:val="24"/>
        </w:rPr>
        <w:t>;</w:t>
      </w:r>
      <w:proofErr w:type="gramEnd"/>
    </w:p>
    <w:p w14:paraId="35A784A5" w14:textId="68C0F3BC" w:rsidR="002B20E9" w:rsidRPr="005C3289" w:rsidRDefault="002B20E9" w:rsidP="002B20E9">
      <w:pPr>
        <w:pStyle w:val="BodyA"/>
        <w:numPr>
          <w:ilvl w:val="0"/>
          <w:numId w:val="15"/>
        </w:numPr>
        <w:jc w:val="both"/>
        <w:rPr>
          <w:rFonts w:ascii="Times New Roman" w:hAnsi="Times New Roman" w:cs="Times New Roman"/>
          <w:sz w:val="24"/>
          <w:szCs w:val="24"/>
        </w:rPr>
      </w:pPr>
      <w:r w:rsidRPr="005C3289">
        <w:rPr>
          <w:rFonts w:ascii="Times New Roman" w:hAnsi="Times New Roman" w:cs="Times New Roman"/>
          <w:sz w:val="24"/>
          <w:szCs w:val="24"/>
        </w:rPr>
        <w:t>Energy sector</w:t>
      </w:r>
    </w:p>
    <w:p w14:paraId="33701008" w14:textId="66E41409" w:rsidR="00AE5FCB" w:rsidRPr="005C3289" w:rsidRDefault="008640B6"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23110 Energy policy and administrative management (Energy sector</w:t>
      </w:r>
      <w:proofErr w:type="gramStart"/>
      <w:r w:rsidRPr="005C3289">
        <w:rPr>
          <w:rFonts w:ascii="Times New Roman" w:hAnsi="Times New Roman" w:cs="Times New Roman"/>
          <w:sz w:val="24"/>
          <w:szCs w:val="24"/>
        </w:rPr>
        <w:t>);</w:t>
      </w:r>
      <w:proofErr w:type="gramEnd"/>
      <w:r w:rsidRPr="005C3289">
        <w:rPr>
          <w:rFonts w:ascii="Times New Roman" w:hAnsi="Times New Roman" w:cs="Times New Roman"/>
          <w:sz w:val="24"/>
          <w:szCs w:val="24"/>
        </w:rPr>
        <w:t xml:space="preserve"> </w:t>
      </w:r>
    </w:p>
    <w:p w14:paraId="56E18199" w14:textId="5AFFB375" w:rsidR="00D271F4" w:rsidRPr="005C3289" w:rsidRDefault="00D271F4"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231</w:t>
      </w:r>
      <w:r w:rsidR="00DA2D6F" w:rsidRPr="005C3289">
        <w:rPr>
          <w:rFonts w:ascii="Times New Roman" w:hAnsi="Times New Roman" w:cs="Times New Roman"/>
          <w:sz w:val="24"/>
          <w:szCs w:val="24"/>
        </w:rPr>
        <w:t xml:space="preserve">81 </w:t>
      </w:r>
      <w:r w:rsidR="00DA2D6F" w:rsidRPr="005C3289">
        <w:rPr>
          <w:rFonts w:ascii="Times New Roman" w:hAnsi="Times New Roman" w:cs="Times New Roman"/>
          <w:sz w:val="24"/>
          <w:szCs w:val="24"/>
        </w:rPr>
        <w:t>Energy education/training</w:t>
      </w:r>
      <w:r w:rsidR="00DA2D6F" w:rsidRPr="005C3289">
        <w:rPr>
          <w:rFonts w:ascii="Times New Roman" w:hAnsi="Times New Roman" w:cs="Times New Roman"/>
          <w:sz w:val="24"/>
          <w:szCs w:val="24"/>
        </w:rPr>
        <w:t xml:space="preserve"> (Energy sector</w:t>
      </w:r>
      <w:proofErr w:type="gramStart"/>
      <w:r w:rsidR="00DA2D6F" w:rsidRPr="005C3289">
        <w:rPr>
          <w:rFonts w:ascii="Times New Roman" w:hAnsi="Times New Roman" w:cs="Times New Roman"/>
          <w:sz w:val="24"/>
          <w:szCs w:val="24"/>
        </w:rPr>
        <w:t>);</w:t>
      </w:r>
      <w:proofErr w:type="gramEnd"/>
    </w:p>
    <w:p w14:paraId="1E948538" w14:textId="16B937AA" w:rsidR="000868F2" w:rsidRPr="005C3289" w:rsidRDefault="000868F2"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 xml:space="preserve">23182 Energy </w:t>
      </w:r>
      <w:r w:rsidR="00B154E0" w:rsidRPr="005C3289">
        <w:rPr>
          <w:rFonts w:ascii="Times New Roman" w:hAnsi="Times New Roman" w:cs="Times New Roman"/>
          <w:sz w:val="24"/>
          <w:szCs w:val="24"/>
        </w:rPr>
        <w:t>r</w:t>
      </w:r>
      <w:r w:rsidRPr="005C3289">
        <w:rPr>
          <w:rFonts w:ascii="Times New Roman" w:hAnsi="Times New Roman" w:cs="Times New Roman"/>
          <w:sz w:val="24"/>
          <w:szCs w:val="24"/>
        </w:rPr>
        <w:t xml:space="preserve">esearch </w:t>
      </w:r>
      <w:r w:rsidRPr="005C3289">
        <w:rPr>
          <w:rFonts w:ascii="Times New Roman" w:hAnsi="Times New Roman" w:cs="Times New Roman"/>
          <w:sz w:val="24"/>
          <w:szCs w:val="24"/>
        </w:rPr>
        <w:t>(Energy sector</w:t>
      </w:r>
      <w:proofErr w:type="gramStart"/>
      <w:r w:rsidRPr="005C3289">
        <w:rPr>
          <w:rFonts w:ascii="Times New Roman" w:hAnsi="Times New Roman" w:cs="Times New Roman"/>
          <w:sz w:val="24"/>
          <w:szCs w:val="24"/>
        </w:rPr>
        <w:t>);</w:t>
      </w:r>
      <w:proofErr w:type="gramEnd"/>
    </w:p>
    <w:p w14:paraId="2040AAD4" w14:textId="5A992516" w:rsidR="00263937" w:rsidRPr="005C3289" w:rsidRDefault="00263937"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23183</w:t>
      </w:r>
      <w:r w:rsidRPr="005C3289">
        <w:rPr>
          <w:rFonts w:ascii="Times New Roman" w:hAnsi="Times New Roman" w:cs="Times New Roman"/>
          <w:sz w:val="24"/>
          <w:szCs w:val="24"/>
        </w:rPr>
        <w:tab/>
        <w:t>Energy conservation and demand-side efficiency</w:t>
      </w:r>
      <w:r w:rsidRPr="005C3289">
        <w:rPr>
          <w:rFonts w:ascii="Times New Roman" w:hAnsi="Times New Roman" w:cs="Times New Roman"/>
          <w:sz w:val="24"/>
          <w:szCs w:val="24"/>
        </w:rPr>
        <w:t xml:space="preserve"> (Energy sector</w:t>
      </w:r>
      <w:proofErr w:type="gramStart"/>
      <w:r w:rsidRPr="005C3289">
        <w:rPr>
          <w:rFonts w:ascii="Times New Roman" w:hAnsi="Times New Roman" w:cs="Times New Roman"/>
          <w:sz w:val="24"/>
          <w:szCs w:val="24"/>
        </w:rPr>
        <w:t>);</w:t>
      </w:r>
      <w:proofErr w:type="gramEnd"/>
    </w:p>
    <w:p w14:paraId="40309CE7" w14:textId="63EDFECC" w:rsidR="00B154E0" w:rsidRPr="005C3289" w:rsidRDefault="00B154E0" w:rsidP="00B154E0">
      <w:pPr>
        <w:pStyle w:val="BodyA"/>
        <w:numPr>
          <w:ilvl w:val="0"/>
          <w:numId w:val="15"/>
        </w:numPr>
        <w:jc w:val="both"/>
        <w:rPr>
          <w:rFonts w:ascii="Times New Roman" w:hAnsi="Times New Roman" w:cs="Times New Roman"/>
          <w:sz w:val="24"/>
          <w:szCs w:val="24"/>
        </w:rPr>
      </w:pPr>
      <w:r w:rsidRPr="005C3289">
        <w:rPr>
          <w:rFonts w:ascii="Times New Roman" w:hAnsi="Times New Roman" w:cs="Times New Roman"/>
          <w:sz w:val="24"/>
          <w:szCs w:val="24"/>
        </w:rPr>
        <w:t xml:space="preserve">Industry, </w:t>
      </w:r>
      <w:proofErr w:type="gramStart"/>
      <w:r w:rsidRPr="005C3289">
        <w:rPr>
          <w:rFonts w:ascii="Times New Roman" w:hAnsi="Times New Roman" w:cs="Times New Roman"/>
          <w:sz w:val="24"/>
          <w:szCs w:val="24"/>
        </w:rPr>
        <w:t>mining</w:t>
      </w:r>
      <w:proofErr w:type="gramEnd"/>
      <w:r w:rsidRPr="005C3289">
        <w:rPr>
          <w:rFonts w:ascii="Times New Roman" w:hAnsi="Times New Roman" w:cs="Times New Roman"/>
          <w:sz w:val="24"/>
          <w:szCs w:val="24"/>
        </w:rPr>
        <w:t xml:space="preserve"> and construction sector</w:t>
      </w:r>
    </w:p>
    <w:p w14:paraId="13FDBB61" w14:textId="42F6BC6E" w:rsidR="00AE5FCB" w:rsidRPr="005C3289" w:rsidRDefault="008640B6"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32110 Industrial policy and administrative management (Industry, mining and construction sector</w:t>
      </w:r>
      <w:proofErr w:type="gramStart"/>
      <w:r w:rsidRPr="005C3289">
        <w:rPr>
          <w:rFonts w:ascii="Times New Roman" w:hAnsi="Times New Roman" w:cs="Times New Roman"/>
          <w:sz w:val="24"/>
          <w:szCs w:val="24"/>
        </w:rPr>
        <w:t>);</w:t>
      </w:r>
      <w:proofErr w:type="gramEnd"/>
    </w:p>
    <w:p w14:paraId="0EA799DC" w14:textId="2BB670B9" w:rsidR="00157D7C" w:rsidRPr="005C3289" w:rsidRDefault="00157D7C"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32120</w:t>
      </w:r>
      <w:r w:rsidRPr="005C3289">
        <w:rPr>
          <w:rFonts w:ascii="Times New Roman" w:hAnsi="Times New Roman" w:cs="Times New Roman"/>
          <w:sz w:val="24"/>
          <w:szCs w:val="24"/>
        </w:rPr>
        <w:tab/>
        <w:t>Industrial development</w:t>
      </w:r>
      <w:r w:rsidR="00325245" w:rsidRPr="005C3289">
        <w:rPr>
          <w:rFonts w:ascii="Times New Roman" w:hAnsi="Times New Roman" w:cs="Times New Roman"/>
          <w:sz w:val="24"/>
          <w:szCs w:val="24"/>
        </w:rPr>
        <w:t xml:space="preserve"> </w:t>
      </w:r>
      <w:r w:rsidR="009A3292" w:rsidRPr="005C3289">
        <w:rPr>
          <w:rFonts w:ascii="Times New Roman" w:hAnsi="Times New Roman" w:cs="Times New Roman"/>
          <w:sz w:val="24"/>
          <w:szCs w:val="24"/>
        </w:rPr>
        <w:t>(Industry, mining and construction sector</w:t>
      </w:r>
      <w:proofErr w:type="gramStart"/>
      <w:r w:rsidR="009A3292" w:rsidRPr="005C3289">
        <w:rPr>
          <w:rFonts w:ascii="Times New Roman" w:hAnsi="Times New Roman" w:cs="Times New Roman"/>
          <w:sz w:val="24"/>
          <w:szCs w:val="24"/>
        </w:rPr>
        <w:t>)</w:t>
      </w:r>
      <w:r w:rsidR="009A3292" w:rsidRPr="005C3289">
        <w:rPr>
          <w:rFonts w:ascii="Times New Roman" w:hAnsi="Times New Roman" w:cs="Times New Roman"/>
          <w:sz w:val="24"/>
          <w:szCs w:val="24"/>
        </w:rPr>
        <w:t>;</w:t>
      </w:r>
      <w:proofErr w:type="gramEnd"/>
      <w:r w:rsidR="009A3292" w:rsidRPr="005C3289">
        <w:rPr>
          <w:rFonts w:ascii="Times New Roman" w:hAnsi="Times New Roman" w:cs="Times New Roman"/>
          <w:sz w:val="24"/>
          <w:szCs w:val="24"/>
        </w:rPr>
        <w:t xml:space="preserve"> </w:t>
      </w:r>
    </w:p>
    <w:p w14:paraId="4C3DB952" w14:textId="77777777" w:rsidR="00AE5FCB" w:rsidRPr="005C3289" w:rsidRDefault="008640B6"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32210 Mineral/mining policy (Industry, mining and construction sector</w:t>
      </w:r>
      <w:proofErr w:type="gramStart"/>
      <w:r w:rsidRPr="005C3289">
        <w:rPr>
          <w:rFonts w:ascii="Times New Roman" w:hAnsi="Times New Roman" w:cs="Times New Roman"/>
          <w:sz w:val="24"/>
          <w:szCs w:val="24"/>
        </w:rPr>
        <w:t>);</w:t>
      </w:r>
      <w:proofErr w:type="gramEnd"/>
      <w:r w:rsidRPr="005C3289">
        <w:rPr>
          <w:rFonts w:ascii="Times New Roman" w:hAnsi="Times New Roman" w:cs="Times New Roman"/>
          <w:sz w:val="24"/>
          <w:szCs w:val="24"/>
        </w:rPr>
        <w:t xml:space="preserve"> </w:t>
      </w:r>
    </w:p>
    <w:p w14:paraId="21986047" w14:textId="0AAF94C7" w:rsidR="00AE5FCB" w:rsidRPr="005C3289" w:rsidRDefault="008640B6"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32310 Construction policy (Industry, mining and construction sector</w:t>
      </w:r>
      <w:proofErr w:type="gramStart"/>
      <w:r w:rsidRPr="005C3289">
        <w:rPr>
          <w:rFonts w:ascii="Times New Roman" w:hAnsi="Times New Roman" w:cs="Times New Roman"/>
          <w:sz w:val="24"/>
          <w:szCs w:val="24"/>
        </w:rPr>
        <w:t>);</w:t>
      </w:r>
      <w:proofErr w:type="gramEnd"/>
      <w:r w:rsidRPr="005C3289">
        <w:rPr>
          <w:rFonts w:ascii="Times New Roman" w:hAnsi="Times New Roman" w:cs="Times New Roman"/>
          <w:sz w:val="24"/>
          <w:szCs w:val="24"/>
        </w:rPr>
        <w:t xml:space="preserve"> </w:t>
      </w:r>
    </w:p>
    <w:p w14:paraId="0CEB59A8" w14:textId="090818C7" w:rsidR="003C428A" w:rsidRPr="005C3289" w:rsidRDefault="003C428A"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32182</w:t>
      </w:r>
      <w:r w:rsidRPr="005C3289">
        <w:rPr>
          <w:rFonts w:ascii="Times New Roman" w:hAnsi="Times New Roman" w:cs="Times New Roman"/>
          <w:sz w:val="24"/>
          <w:szCs w:val="24"/>
        </w:rPr>
        <w:tab/>
        <w:t>Technological research and development</w:t>
      </w:r>
      <w:r w:rsidRPr="005C3289">
        <w:rPr>
          <w:rFonts w:ascii="Times New Roman" w:hAnsi="Times New Roman" w:cs="Times New Roman"/>
          <w:sz w:val="24"/>
          <w:szCs w:val="24"/>
        </w:rPr>
        <w:t xml:space="preserve"> (</w:t>
      </w:r>
      <w:r w:rsidRPr="005C3289">
        <w:rPr>
          <w:rFonts w:ascii="Times New Roman" w:hAnsi="Times New Roman" w:cs="Times New Roman"/>
          <w:sz w:val="24"/>
          <w:szCs w:val="24"/>
          <w:bdr w:val="none" w:sz="0" w:space="0" w:color="auto" w:frame="1"/>
        </w:rPr>
        <w:t xml:space="preserve">Industry, </w:t>
      </w:r>
      <w:proofErr w:type="gramStart"/>
      <w:r w:rsidRPr="005C3289">
        <w:rPr>
          <w:rFonts w:ascii="Times New Roman" w:hAnsi="Times New Roman" w:cs="Times New Roman"/>
          <w:sz w:val="24"/>
          <w:szCs w:val="24"/>
          <w:bdr w:val="none" w:sz="0" w:space="0" w:color="auto" w:frame="1"/>
        </w:rPr>
        <w:t>mining</w:t>
      </w:r>
      <w:proofErr w:type="gramEnd"/>
      <w:r w:rsidRPr="005C3289">
        <w:rPr>
          <w:rFonts w:ascii="Times New Roman" w:hAnsi="Times New Roman" w:cs="Times New Roman"/>
          <w:sz w:val="24"/>
          <w:szCs w:val="24"/>
          <w:bdr w:val="none" w:sz="0" w:space="0" w:color="auto" w:frame="1"/>
        </w:rPr>
        <w:t xml:space="preserve"> and construction sector)</w:t>
      </w:r>
    </w:p>
    <w:p w14:paraId="16AB505B" w14:textId="34BB8E7F" w:rsidR="00B154E0" w:rsidRPr="005C3289" w:rsidRDefault="00B154E0" w:rsidP="00B154E0">
      <w:pPr>
        <w:pStyle w:val="BodyA"/>
        <w:numPr>
          <w:ilvl w:val="0"/>
          <w:numId w:val="15"/>
        </w:numPr>
        <w:jc w:val="both"/>
        <w:rPr>
          <w:rFonts w:ascii="Times New Roman" w:hAnsi="Times New Roman" w:cs="Times New Roman"/>
          <w:sz w:val="24"/>
          <w:szCs w:val="24"/>
        </w:rPr>
      </w:pPr>
      <w:r w:rsidRPr="005C3289">
        <w:rPr>
          <w:rFonts w:ascii="Times New Roman" w:hAnsi="Times New Roman" w:cs="Times New Roman"/>
          <w:sz w:val="24"/>
          <w:szCs w:val="24"/>
        </w:rPr>
        <w:t>General environmental protection sector</w:t>
      </w:r>
    </w:p>
    <w:p w14:paraId="6B100BF1" w14:textId="571B992F" w:rsidR="00AE5FCB" w:rsidRPr="005C3289" w:rsidRDefault="008640B6"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41010 Environmental policy (General environmental protection sector</w:t>
      </w:r>
      <w:proofErr w:type="gramStart"/>
      <w:r w:rsidRPr="005C3289">
        <w:rPr>
          <w:rFonts w:ascii="Times New Roman" w:hAnsi="Times New Roman" w:cs="Times New Roman"/>
          <w:sz w:val="24"/>
          <w:szCs w:val="24"/>
        </w:rPr>
        <w:t>);</w:t>
      </w:r>
      <w:proofErr w:type="gramEnd"/>
      <w:r w:rsidRPr="005C3289">
        <w:rPr>
          <w:rFonts w:ascii="Times New Roman" w:hAnsi="Times New Roman" w:cs="Times New Roman"/>
          <w:sz w:val="24"/>
          <w:szCs w:val="24"/>
        </w:rPr>
        <w:t xml:space="preserve"> </w:t>
      </w:r>
    </w:p>
    <w:p w14:paraId="58D08BBF" w14:textId="2E37D929" w:rsidR="00C7137D" w:rsidRPr="005C3289" w:rsidRDefault="00C7137D" w:rsidP="004F1E18">
      <w:pPr>
        <w:pStyle w:val="BodyA"/>
        <w:numPr>
          <w:ilvl w:val="1"/>
          <w:numId w:val="14"/>
        </w:numPr>
        <w:jc w:val="both"/>
        <w:rPr>
          <w:rFonts w:ascii="Times New Roman" w:hAnsi="Times New Roman" w:cs="Times New Roman"/>
          <w:sz w:val="24"/>
          <w:szCs w:val="24"/>
        </w:rPr>
      </w:pPr>
      <w:r w:rsidRPr="005C3289">
        <w:rPr>
          <w:rFonts w:ascii="Times New Roman" w:hAnsi="Times New Roman" w:cs="Times New Roman"/>
          <w:sz w:val="24"/>
          <w:szCs w:val="24"/>
        </w:rPr>
        <w:t>41081Environmental education/training</w:t>
      </w:r>
      <w:r w:rsidRPr="005C3289">
        <w:rPr>
          <w:rFonts w:ascii="Times New Roman" w:hAnsi="Times New Roman" w:cs="Times New Roman"/>
          <w:sz w:val="24"/>
          <w:szCs w:val="24"/>
        </w:rPr>
        <w:t xml:space="preserve"> </w:t>
      </w:r>
      <w:r w:rsidRPr="005C3289">
        <w:rPr>
          <w:rFonts w:ascii="Times New Roman" w:hAnsi="Times New Roman" w:cs="Times New Roman"/>
          <w:sz w:val="24"/>
          <w:szCs w:val="24"/>
        </w:rPr>
        <w:t>(General environmental protection sector</w:t>
      </w:r>
      <w:proofErr w:type="gramStart"/>
      <w:r w:rsidRPr="005C3289">
        <w:rPr>
          <w:rFonts w:ascii="Times New Roman" w:hAnsi="Times New Roman" w:cs="Times New Roman"/>
          <w:sz w:val="24"/>
          <w:szCs w:val="24"/>
        </w:rPr>
        <w:t>);</w:t>
      </w:r>
      <w:proofErr w:type="gramEnd"/>
    </w:p>
    <w:p w14:paraId="2F92D682" w14:textId="796490BE" w:rsidR="00B154E0" w:rsidRPr="005C3289" w:rsidRDefault="00B154E0" w:rsidP="00B154E0">
      <w:pPr>
        <w:pStyle w:val="BodyA"/>
        <w:numPr>
          <w:ilvl w:val="0"/>
          <w:numId w:val="15"/>
        </w:numPr>
        <w:jc w:val="both"/>
        <w:rPr>
          <w:rFonts w:ascii="Times New Roman" w:hAnsi="Times New Roman" w:cs="Times New Roman"/>
          <w:sz w:val="24"/>
          <w:szCs w:val="24"/>
        </w:rPr>
      </w:pPr>
      <w:proofErr w:type="gramStart"/>
      <w:r w:rsidRPr="005C3289">
        <w:rPr>
          <w:rFonts w:ascii="Times New Roman" w:hAnsi="Times New Roman" w:cs="Times New Roman"/>
          <w:sz w:val="24"/>
          <w:szCs w:val="24"/>
        </w:rPr>
        <w:t>Other</w:t>
      </w:r>
      <w:proofErr w:type="gramEnd"/>
      <w:r w:rsidRPr="005C3289">
        <w:rPr>
          <w:rFonts w:ascii="Times New Roman" w:hAnsi="Times New Roman" w:cs="Times New Roman"/>
          <w:sz w:val="24"/>
          <w:szCs w:val="24"/>
        </w:rPr>
        <w:t xml:space="preserve"> multisector/cross-cutting sector</w:t>
      </w:r>
    </w:p>
    <w:p w14:paraId="65A9A7FE" w14:textId="6DB2450E" w:rsidR="003262F1" w:rsidRPr="005C3289" w:rsidRDefault="008640B6" w:rsidP="004F1E18">
      <w:pPr>
        <w:pStyle w:val="BodyA"/>
        <w:numPr>
          <w:ilvl w:val="1"/>
          <w:numId w:val="14"/>
        </w:numPr>
        <w:jc w:val="both"/>
        <w:rPr>
          <w:rStyle w:val="None"/>
          <w:rFonts w:ascii="Times New Roman" w:hAnsi="Times New Roman" w:cs="Times New Roman"/>
          <w:sz w:val="24"/>
          <w:szCs w:val="24"/>
        </w:rPr>
      </w:pPr>
      <w:r w:rsidRPr="005C3289">
        <w:rPr>
          <w:rFonts w:ascii="Times New Roman" w:hAnsi="Times New Roman" w:cs="Times New Roman"/>
          <w:sz w:val="24"/>
          <w:szCs w:val="24"/>
        </w:rPr>
        <w:t>43030 Urban development management (</w:t>
      </w:r>
      <w:proofErr w:type="gramStart"/>
      <w:r w:rsidRPr="005C3289">
        <w:rPr>
          <w:rFonts w:ascii="Times New Roman" w:hAnsi="Times New Roman" w:cs="Times New Roman"/>
          <w:sz w:val="24"/>
          <w:szCs w:val="24"/>
        </w:rPr>
        <w:t>Other</w:t>
      </w:r>
      <w:proofErr w:type="gramEnd"/>
      <w:r w:rsidRPr="005C3289">
        <w:rPr>
          <w:rFonts w:ascii="Times New Roman" w:hAnsi="Times New Roman" w:cs="Times New Roman"/>
          <w:sz w:val="24"/>
          <w:szCs w:val="24"/>
        </w:rPr>
        <w:t xml:space="preserve"> multisector/cross-cutting sector)</w:t>
      </w:r>
      <w:r w:rsidR="003262F1" w:rsidRPr="005C3289">
        <w:rPr>
          <w:rStyle w:val="None"/>
          <w:rFonts w:ascii="Times New Roman" w:hAnsi="Times New Roman" w:cs="Times New Roman"/>
          <w:sz w:val="24"/>
          <w:szCs w:val="24"/>
        </w:rPr>
        <w:t xml:space="preserve">. </w:t>
      </w:r>
    </w:p>
    <w:p w14:paraId="17E19241" w14:textId="19D52662" w:rsidR="00A42D1E" w:rsidRPr="005C3289" w:rsidRDefault="00A42D1E" w:rsidP="006B2B6E">
      <w:pPr>
        <w:pStyle w:val="BodyA"/>
        <w:numPr>
          <w:ilvl w:val="0"/>
          <w:numId w:val="2"/>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 xml:space="preserve">Manually copy the </w:t>
      </w:r>
      <w:r w:rsidR="00D4310E" w:rsidRPr="005C3289">
        <w:rPr>
          <w:rStyle w:val="None"/>
          <w:rFonts w:ascii="Times New Roman" w:hAnsi="Times New Roman" w:cs="Times New Roman"/>
          <w:sz w:val="24"/>
          <w:szCs w:val="24"/>
        </w:rPr>
        <w:t xml:space="preserve">relevant </w:t>
      </w:r>
      <w:r w:rsidRPr="005C3289">
        <w:rPr>
          <w:rStyle w:val="None"/>
          <w:rFonts w:ascii="Times New Roman" w:hAnsi="Times New Roman" w:cs="Times New Roman"/>
          <w:sz w:val="24"/>
          <w:szCs w:val="24"/>
        </w:rPr>
        <w:t xml:space="preserve">rows from the spreadsheet saved in Step </w:t>
      </w:r>
      <w:r w:rsidR="00D4310E" w:rsidRPr="005C3289">
        <w:rPr>
          <w:rStyle w:val="None"/>
          <w:rFonts w:ascii="Times New Roman" w:hAnsi="Times New Roman" w:cs="Times New Roman"/>
          <w:sz w:val="24"/>
          <w:szCs w:val="24"/>
        </w:rPr>
        <w:t>10</w:t>
      </w:r>
      <w:r w:rsidRPr="005C3289">
        <w:rPr>
          <w:rStyle w:val="None"/>
          <w:rFonts w:ascii="Times New Roman" w:hAnsi="Times New Roman" w:cs="Times New Roman"/>
          <w:sz w:val="24"/>
          <w:szCs w:val="24"/>
        </w:rPr>
        <w:t xml:space="preserve"> </w:t>
      </w:r>
      <w:r w:rsidR="00D4310E" w:rsidRPr="005C3289">
        <w:rPr>
          <w:rStyle w:val="None"/>
          <w:rFonts w:ascii="Times New Roman" w:hAnsi="Times New Roman" w:cs="Times New Roman"/>
          <w:sz w:val="24"/>
          <w:szCs w:val="24"/>
        </w:rPr>
        <w:t>(</w:t>
      </w:r>
      <w:proofErr w:type="spellStart"/>
      <w:proofErr w:type="gramStart"/>
      <w:r w:rsidR="00D4310E" w:rsidRPr="005C3289">
        <w:rPr>
          <w:rStyle w:val="None"/>
          <w:rFonts w:ascii="Times New Roman" w:hAnsi="Times New Roman" w:cs="Times New Roman"/>
          <w:sz w:val="24"/>
          <w:szCs w:val="24"/>
        </w:rPr>
        <w:t>i</w:t>
      </w:r>
      <w:proofErr w:type="spellEnd"/>
      <w:r w:rsidR="00D4310E" w:rsidRPr="005C3289">
        <w:rPr>
          <w:rStyle w:val="None"/>
          <w:rFonts w:ascii="Times New Roman" w:hAnsi="Times New Roman" w:cs="Times New Roman"/>
          <w:sz w:val="24"/>
          <w:szCs w:val="24"/>
        </w:rPr>
        <w:t>..e</w:t>
      </w:r>
      <w:proofErr w:type="gramEnd"/>
      <w:r w:rsidR="00D4310E" w:rsidRPr="005C3289">
        <w:rPr>
          <w:rStyle w:val="None"/>
          <w:rFonts w:ascii="Times New Roman" w:hAnsi="Times New Roman" w:cs="Times New Roman"/>
          <w:sz w:val="24"/>
          <w:szCs w:val="24"/>
        </w:rPr>
        <w:t xml:space="preserve"> those that are not highlighted RED) </w:t>
      </w:r>
      <w:r w:rsidRPr="005C3289">
        <w:rPr>
          <w:rStyle w:val="None"/>
          <w:rFonts w:ascii="Times New Roman" w:hAnsi="Times New Roman" w:cs="Times New Roman"/>
          <w:sz w:val="24"/>
          <w:szCs w:val="24"/>
        </w:rPr>
        <w:t>and paste them into this main spreadsheet below the existing data. These are transactions that are not in any of the purpose codes filtered for in step 10 but were found to be relevant using the keyword search</w:t>
      </w:r>
      <w:r w:rsidR="00D4310E" w:rsidRPr="005C3289">
        <w:rPr>
          <w:rStyle w:val="None"/>
          <w:rFonts w:ascii="Times New Roman" w:hAnsi="Times New Roman" w:cs="Times New Roman"/>
          <w:sz w:val="24"/>
          <w:szCs w:val="24"/>
        </w:rPr>
        <w:t>. T</w:t>
      </w:r>
      <w:r w:rsidRPr="005C3289">
        <w:rPr>
          <w:rStyle w:val="None"/>
          <w:rFonts w:ascii="Times New Roman" w:hAnsi="Times New Roman" w:cs="Times New Roman"/>
          <w:sz w:val="24"/>
          <w:szCs w:val="24"/>
        </w:rPr>
        <w:t xml:space="preserve">hose we decided are not relevant, highlighted RED in step 10, should </w:t>
      </w:r>
      <w:r w:rsidRPr="005C3289">
        <w:rPr>
          <w:rStyle w:val="None"/>
          <w:rFonts w:ascii="Times New Roman" w:hAnsi="Times New Roman" w:cs="Times New Roman"/>
          <w:sz w:val="24"/>
          <w:szCs w:val="24"/>
          <w:u w:val="single"/>
        </w:rPr>
        <w:t>not</w:t>
      </w:r>
      <w:r w:rsidRPr="005C3289">
        <w:rPr>
          <w:rStyle w:val="None"/>
          <w:rFonts w:ascii="Times New Roman" w:hAnsi="Times New Roman" w:cs="Times New Roman"/>
          <w:sz w:val="24"/>
          <w:szCs w:val="24"/>
        </w:rPr>
        <w:t xml:space="preserve"> be copied over to the main dataset. </w:t>
      </w:r>
    </w:p>
    <w:p w14:paraId="0CEAF0DF" w14:textId="07D6C373" w:rsidR="003262F1" w:rsidRPr="005C3289" w:rsidRDefault="003262F1" w:rsidP="00D0179D">
      <w:pPr>
        <w:pStyle w:val="BodyA"/>
        <w:jc w:val="both"/>
        <w:rPr>
          <w:rStyle w:val="None"/>
          <w:rFonts w:ascii="Times New Roman" w:hAnsi="Times New Roman" w:cs="Times New Roman"/>
          <w:sz w:val="24"/>
          <w:szCs w:val="24"/>
        </w:rPr>
      </w:pPr>
    </w:p>
    <w:p w14:paraId="5514BAF0" w14:textId="39701BFA" w:rsidR="00A42D1E" w:rsidRPr="005C3289" w:rsidRDefault="001977B2" w:rsidP="00D0179D">
      <w:pPr>
        <w:pStyle w:val="BodyA"/>
        <w:jc w:val="both"/>
        <w:rPr>
          <w:rStyle w:val="None"/>
          <w:rFonts w:ascii="Times New Roman" w:hAnsi="Times New Roman" w:cs="Times New Roman"/>
          <w:b/>
          <w:bCs/>
          <w:sz w:val="24"/>
          <w:szCs w:val="24"/>
        </w:rPr>
      </w:pPr>
      <w:r w:rsidRPr="005C3289">
        <w:rPr>
          <w:rStyle w:val="None"/>
          <w:rFonts w:ascii="Times New Roman" w:hAnsi="Times New Roman" w:cs="Times New Roman"/>
          <w:b/>
          <w:bCs/>
          <w:sz w:val="24"/>
          <w:szCs w:val="24"/>
        </w:rPr>
        <w:lastRenderedPageBreak/>
        <w:t xml:space="preserve">This is the final dataset we will use for our analysis. </w:t>
      </w:r>
    </w:p>
    <w:p w14:paraId="1C6A0ED0" w14:textId="4A92C5D5" w:rsidR="008A3BA8" w:rsidRPr="005C3289" w:rsidRDefault="0040062D" w:rsidP="0040062D">
      <w:pPr>
        <w:pStyle w:val="Heading2"/>
        <w:rPr>
          <w:rStyle w:val="None"/>
          <w:rFonts w:cs="Times New Roman"/>
          <w:sz w:val="24"/>
          <w:szCs w:val="24"/>
        </w:rPr>
      </w:pPr>
      <w:r w:rsidRPr="005C3289">
        <w:rPr>
          <w:rStyle w:val="None"/>
          <w:rFonts w:cs="Times New Roman"/>
          <w:sz w:val="24"/>
          <w:szCs w:val="24"/>
        </w:rPr>
        <w:t>Analysis</w:t>
      </w:r>
    </w:p>
    <w:p w14:paraId="2CE30BF8" w14:textId="77777777" w:rsidR="0040062D" w:rsidRPr="005C3289" w:rsidRDefault="0040062D" w:rsidP="008640B6">
      <w:pPr>
        <w:rPr>
          <w:rStyle w:val="None"/>
        </w:rPr>
      </w:pPr>
    </w:p>
    <w:p w14:paraId="6326AE66" w14:textId="770BE699" w:rsidR="003262F1" w:rsidRPr="005C3289" w:rsidRDefault="009C1BD3" w:rsidP="008640B6">
      <w:pPr>
        <w:rPr>
          <w:rStyle w:val="None"/>
        </w:rPr>
      </w:pPr>
      <w:r w:rsidRPr="005C3289">
        <w:rPr>
          <w:rStyle w:val="None"/>
        </w:rPr>
        <w:t>Using th</w:t>
      </w:r>
      <w:r w:rsidR="0040062D" w:rsidRPr="005C3289">
        <w:rPr>
          <w:rStyle w:val="None"/>
        </w:rPr>
        <w:t>e final dataset</w:t>
      </w:r>
      <w:r w:rsidRPr="005C3289">
        <w:rPr>
          <w:rStyle w:val="None"/>
        </w:rPr>
        <w:t xml:space="preserve">, we </w:t>
      </w:r>
      <w:commentRangeStart w:id="9"/>
      <w:r w:rsidRPr="005C3289">
        <w:rPr>
          <w:rStyle w:val="None"/>
        </w:rPr>
        <w:t>do the following</w:t>
      </w:r>
      <w:commentRangeEnd w:id="9"/>
      <w:r w:rsidR="00C1077B" w:rsidRPr="005C3289">
        <w:rPr>
          <w:rStyle w:val="CommentReference"/>
          <w:sz w:val="24"/>
          <w:szCs w:val="24"/>
        </w:rPr>
        <w:commentReference w:id="9"/>
      </w:r>
      <w:r w:rsidRPr="005C3289">
        <w:rPr>
          <w:rStyle w:val="None"/>
        </w:rPr>
        <w:t>:</w:t>
      </w:r>
    </w:p>
    <w:p w14:paraId="26B5BC88" w14:textId="35D925AC" w:rsidR="0094046A" w:rsidRPr="005C3289" w:rsidRDefault="009C1BD3" w:rsidP="009C1BD3">
      <w:pPr>
        <w:pStyle w:val="BodyA"/>
        <w:numPr>
          <w:ilvl w:val="0"/>
          <w:numId w:val="10"/>
        </w:numPr>
        <w:jc w:val="both"/>
        <w:rPr>
          <w:rFonts w:ascii="Times New Roman" w:hAnsi="Times New Roman" w:cs="Times New Roman"/>
          <w:color w:val="auto"/>
          <w:sz w:val="24"/>
          <w:szCs w:val="24"/>
          <w:lang w:val="en-AU"/>
        </w:rPr>
      </w:pPr>
      <w:r w:rsidRPr="005C3289">
        <w:rPr>
          <w:rFonts w:ascii="Times New Roman" w:hAnsi="Times New Roman" w:cs="Times New Roman"/>
          <w:color w:val="auto"/>
          <w:sz w:val="24"/>
          <w:szCs w:val="24"/>
          <w:lang w:val="en-AU"/>
        </w:rPr>
        <w:t>C</w:t>
      </w:r>
      <w:r w:rsidR="0094046A" w:rsidRPr="005C3289">
        <w:rPr>
          <w:rFonts w:ascii="Times New Roman" w:hAnsi="Times New Roman" w:cs="Times New Roman"/>
          <w:color w:val="auto"/>
          <w:sz w:val="24"/>
          <w:szCs w:val="24"/>
          <w:lang w:val="en-AU"/>
        </w:rPr>
        <w:t xml:space="preserve">reate pivot tables (and associated datasets) for each of the </w:t>
      </w:r>
      <w:r w:rsidR="0094046A" w:rsidRPr="005C3289">
        <w:rPr>
          <w:rFonts w:ascii="Times New Roman" w:hAnsi="Times New Roman" w:cs="Times New Roman"/>
          <w:b/>
          <w:bCs/>
          <w:color w:val="auto"/>
          <w:sz w:val="24"/>
          <w:szCs w:val="24"/>
          <w:lang w:val="en-AU"/>
        </w:rPr>
        <w:t>20 individual donors</w:t>
      </w:r>
      <w:r w:rsidR="0094046A" w:rsidRPr="005C3289">
        <w:rPr>
          <w:rFonts w:ascii="Times New Roman" w:hAnsi="Times New Roman" w:cs="Times New Roman"/>
          <w:color w:val="auto"/>
          <w:sz w:val="24"/>
          <w:szCs w:val="24"/>
          <w:lang w:val="en-AU"/>
        </w:rPr>
        <w:t xml:space="preserve">. For each donor, individual spreadsheets should show all transactions, by year, recipient (up to 10 in total), and sector/purpose code. </w:t>
      </w:r>
      <w:r w:rsidR="0094046A" w:rsidRPr="005C3289">
        <w:rPr>
          <w:rFonts w:ascii="Times New Roman" w:hAnsi="Times New Roman" w:cs="Times New Roman"/>
          <w:i/>
          <w:iCs/>
          <w:color w:val="auto"/>
          <w:sz w:val="24"/>
          <w:szCs w:val="24"/>
          <w:lang w:val="en-AU"/>
        </w:rPr>
        <w:t>These will be used to provide donor-perspective snapshots of technical assistance funding to the countries and sectors of interest</w:t>
      </w:r>
      <w:r w:rsidR="0094046A" w:rsidRPr="005C3289">
        <w:rPr>
          <w:rFonts w:ascii="Times New Roman" w:hAnsi="Times New Roman" w:cs="Times New Roman"/>
          <w:color w:val="auto"/>
          <w:sz w:val="24"/>
          <w:szCs w:val="24"/>
          <w:lang w:val="en-AU"/>
        </w:rPr>
        <w:t xml:space="preserve">. </w:t>
      </w:r>
    </w:p>
    <w:p w14:paraId="250E7A82" w14:textId="3B83329A" w:rsidR="0094046A" w:rsidRPr="005C3289" w:rsidRDefault="009C1BD3" w:rsidP="009C1BD3">
      <w:pPr>
        <w:pStyle w:val="BodyA"/>
        <w:numPr>
          <w:ilvl w:val="0"/>
          <w:numId w:val="10"/>
        </w:numPr>
        <w:jc w:val="both"/>
        <w:rPr>
          <w:rFonts w:ascii="Times New Roman" w:hAnsi="Times New Roman" w:cs="Times New Roman"/>
          <w:color w:val="auto"/>
          <w:sz w:val="24"/>
          <w:szCs w:val="24"/>
          <w:lang w:val="en-AU"/>
        </w:rPr>
      </w:pPr>
      <w:r w:rsidRPr="005C3289">
        <w:rPr>
          <w:rFonts w:ascii="Times New Roman" w:hAnsi="Times New Roman" w:cs="Times New Roman"/>
          <w:color w:val="auto"/>
          <w:sz w:val="24"/>
          <w:szCs w:val="24"/>
          <w:lang w:val="en-AU"/>
        </w:rPr>
        <w:t>Create</w:t>
      </w:r>
      <w:r w:rsidR="0094046A" w:rsidRPr="005C3289">
        <w:rPr>
          <w:rFonts w:ascii="Times New Roman" w:hAnsi="Times New Roman" w:cs="Times New Roman"/>
          <w:color w:val="auto"/>
          <w:sz w:val="24"/>
          <w:szCs w:val="24"/>
          <w:lang w:val="en-AU"/>
        </w:rPr>
        <w:t xml:space="preserve"> pivot tables (and associated datasets) for each of the </w:t>
      </w:r>
      <w:r w:rsidR="0094046A" w:rsidRPr="005C3289">
        <w:rPr>
          <w:rFonts w:ascii="Times New Roman" w:hAnsi="Times New Roman" w:cs="Times New Roman"/>
          <w:b/>
          <w:bCs/>
          <w:color w:val="auto"/>
          <w:sz w:val="24"/>
          <w:szCs w:val="24"/>
          <w:lang w:val="en-AU"/>
        </w:rPr>
        <w:t>7 purpose codes</w:t>
      </w:r>
      <w:r w:rsidR="0094046A" w:rsidRPr="005C3289">
        <w:rPr>
          <w:rFonts w:ascii="Times New Roman" w:hAnsi="Times New Roman" w:cs="Times New Roman"/>
          <w:color w:val="auto"/>
          <w:sz w:val="24"/>
          <w:szCs w:val="24"/>
          <w:lang w:val="en-AU"/>
        </w:rPr>
        <w:t xml:space="preserve">. For each purpose code, individual spreadsheets should show all transactions, by year, donor (up to 20 in total) and recipient (up to 10 in total). </w:t>
      </w:r>
      <w:r w:rsidR="0094046A" w:rsidRPr="005C3289">
        <w:rPr>
          <w:rFonts w:ascii="Times New Roman" w:hAnsi="Times New Roman" w:cs="Times New Roman"/>
          <w:i/>
          <w:iCs/>
          <w:color w:val="auto"/>
          <w:sz w:val="24"/>
          <w:szCs w:val="24"/>
          <w:lang w:val="en-AU"/>
        </w:rPr>
        <w:t>These will be used to provide sector-perspective snapshots of technical assistance funding.</w:t>
      </w:r>
    </w:p>
    <w:p w14:paraId="1A429529" w14:textId="72BFE56F" w:rsidR="0094046A" w:rsidRPr="005C3289" w:rsidRDefault="0094046A" w:rsidP="00BD253E">
      <w:pPr>
        <w:pStyle w:val="BodyA"/>
        <w:jc w:val="both"/>
        <w:rPr>
          <w:rStyle w:val="None"/>
          <w:rFonts w:ascii="Times New Roman" w:hAnsi="Times New Roman" w:cs="Times New Roman"/>
          <w:sz w:val="24"/>
          <w:szCs w:val="24"/>
        </w:rPr>
      </w:pPr>
    </w:p>
    <w:p w14:paraId="46D1C1C5" w14:textId="6A6A8477" w:rsidR="004936DD" w:rsidRPr="005C3289" w:rsidRDefault="004936DD" w:rsidP="00BD253E">
      <w:pPr>
        <w:pStyle w:val="BodyA"/>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The information to be included in each report is:</w:t>
      </w:r>
    </w:p>
    <w:p w14:paraId="1368C970" w14:textId="2997ECDB" w:rsidR="004936DD" w:rsidRPr="005C3289" w:rsidRDefault="004936DD" w:rsidP="004936DD">
      <w:pPr>
        <w:pStyle w:val="BodyA"/>
        <w:jc w:val="both"/>
        <w:rPr>
          <w:rStyle w:val="None"/>
          <w:rFonts w:ascii="Times New Roman" w:hAnsi="Times New Roman" w:cs="Times New Roman"/>
          <w:sz w:val="24"/>
          <w:szCs w:val="24"/>
        </w:rPr>
      </w:pPr>
      <w:commentRangeStart w:id="10"/>
      <w:r w:rsidRPr="005C3289">
        <w:rPr>
          <w:rStyle w:val="None"/>
          <w:rFonts w:ascii="Times New Roman" w:hAnsi="Times New Roman" w:cs="Times New Roman"/>
          <w:sz w:val="24"/>
          <w:szCs w:val="24"/>
          <w:highlight w:val="yellow"/>
        </w:rPr>
        <w:t>XXX</w:t>
      </w:r>
      <w:commentRangeEnd w:id="10"/>
      <w:r w:rsidRPr="005C3289">
        <w:rPr>
          <w:rStyle w:val="CommentReference"/>
          <w:rFonts w:ascii="Times New Roman" w:hAnsi="Times New Roman" w:cs="Times New Roman"/>
          <w:color w:val="auto"/>
          <w:sz w:val="24"/>
          <w:szCs w:val="24"/>
          <w:lang w:eastAsia="en-US"/>
        </w:rPr>
        <w:commentReference w:id="10"/>
      </w:r>
    </w:p>
    <w:p w14:paraId="31C69B18" w14:textId="17C1007C" w:rsidR="0094046A" w:rsidRDefault="008A6D31" w:rsidP="0040062D">
      <w:pPr>
        <w:pStyle w:val="Heading3"/>
        <w:rPr>
          <w:rStyle w:val="None"/>
          <w:b w:val="0"/>
        </w:rPr>
      </w:pPr>
      <w:r w:rsidRPr="008A6D31">
        <w:rPr>
          <w:rStyle w:val="None"/>
          <w:b w:val="0"/>
        </w:rPr>
        <w:t>Assessing disbursements</w:t>
      </w:r>
    </w:p>
    <w:p w14:paraId="623C5EB3" w14:textId="1460ECAF" w:rsidR="008A6D31" w:rsidRPr="005C3289" w:rsidRDefault="008A6D31" w:rsidP="00BD253E">
      <w:pPr>
        <w:pStyle w:val="BodyA"/>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The individual reports for donors and sectors are to include several types of information, including a comparison between commitments and disbursements.</w:t>
      </w:r>
    </w:p>
    <w:p w14:paraId="57A40CC0" w14:textId="5A136418" w:rsidR="008A6D31" w:rsidRPr="005C3289" w:rsidRDefault="008A6D31" w:rsidP="008A6D31">
      <w:pPr>
        <w:pStyle w:val="BodyA"/>
        <w:numPr>
          <w:ilvl w:val="0"/>
          <w:numId w:val="11"/>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 xml:space="preserve">We cannot do this for the MDBs because they do not report disbursed amounts for their climate finance. </w:t>
      </w:r>
    </w:p>
    <w:p w14:paraId="34F3C2AA" w14:textId="66FC1234" w:rsidR="008A6D31" w:rsidRPr="005C3289" w:rsidRDefault="008A6D31" w:rsidP="008A6D31">
      <w:pPr>
        <w:pStyle w:val="BodyA"/>
        <w:numPr>
          <w:ilvl w:val="0"/>
          <w:numId w:val="11"/>
        </w:numPr>
        <w:jc w:val="both"/>
        <w:rPr>
          <w:rStyle w:val="None"/>
          <w:rFonts w:ascii="Times New Roman" w:hAnsi="Times New Roman" w:cs="Times New Roman"/>
          <w:sz w:val="24"/>
          <w:szCs w:val="24"/>
        </w:rPr>
      </w:pPr>
      <w:r w:rsidRPr="005C3289">
        <w:rPr>
          <w:rStyle w:val="None"/>
          <w:rFonts w:ascii="Times New Roman" w:hAnsi="Times New Roman" w:cs="Times New Roman"/>
          <w:sz w:val="24"/>
          <w:szCs w:val="24"/>
        </w:rPr>
        <w:t xml:space="preserve">We can do this for all other (bilateral) </w:t>
      </w:r>
      <w:proofErr w:type="gramStart"/>
      <w:r w:rsidRPr="005C3289">
        <w:rPr>
          <w:rStyle w:val="None"/>
          <w:rFonts w:ascii="Times New Roman" w:hAnsi="Times New Roman" w:cs="Times New Roman"/>
          <w:sz w:val="24"/>
          <w:szCs w:val="24"/>
        </w:rPr>
        <w:t>funders, but</w:t>
      </w:r>
      <w:proofErr w:type="gramEnd"/>
      <w:r w:rsidRPr="005C3289">
        <w:rPr>
          <w:rStyle w:val="None"/>
          <w:rFonts w:ascii="Times New Roman" w:hAnsi="Times New Roman" w:cs="Times New Roman"/>
          <w:sz w:val="24"/>
          <w:szCs w:val="24"/>
        </w:rPr>
        <w:t xml:space="preserve"> need to use a different dataset than the one above. Suggest we use Aid Atlas, if we only want quick total numbers to compare with total commitment amounts. TO BE DISCUSSED.</w:t>
      </w:r>
    </w:p>
    <w:p w14:paraId="7B08F76C" w14:textId="2208DB87" w:rsidR="00EF58AF" w:rsidRPr="005C3289" w:rsidRDefault="00EF58AF" w:rsidP="00BD253E">
      <w:pPr>
        <w:pStyle w:val="BodyA"/>
        <w:jc w:val="both"/>
        <w:rPr>
          <w:rStyle w:val="None"/>
          <w:rFonts w:ascii="Times New Roman" w:hAnsi="Times New Roman" w:cs="Times New Roman"/>
          <w:sz w:val="24"/>
          <w:szCs w:val="24"/>
        </w:rPr>
      </w:pPr>
    </w:p>
    <w:p w14:paraId="617EF76F" w14:textId="5EE759B4" w:rsidR="00EF58AF" w:rsidRPr="005C3289" w:rsidRDefault="00EF58AF" w:rsidP="00BD253E">
      <w:pPr>
        <w:pStyle w:val="BodyA"/>
        <w:jc w:val="both"/>
        <w:rPr>
          <w:rStyle w:val="None"/>
          <w:rFonts w:ascii="Times New Roman" w:hAnsi="Times New Roman" w:cs="Times New Roman"/>
          <w:sz w:val="24"/>
          <w:szCs w:val="24"/>
        </w:rPr>
      </w:pPr>
    </w:p>
    <w:sectPr w:rsidR="00EF58AF" w:rsidRPr="005C3289">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y Thazin Aung" w:date="2021-05-14T13:06:00Z" w:initials="MTA">
    <w:p w14:paraId="79A6FCD3" w14:textId="019ECEA5" w:rsidR="00825CD0" w:rsidRDefault="00825CD0">
      <w:pPr>
        <w:pStyle w:val="CommentText"/>
      </w:pPr>
      <w:r>
        <w:rPr>
          <w:rStyle w:val="CommentReference"/>
        </w:rPr>
        <w:annotationRef/>
      </w:r>
      <w:r>
        <w:t xml:space="preserve">Since we are using this, does this mean our data </w:t>
      </w:r>
      <w:proofErr w:type="gramStart"/>
      <w:r>
        <w:t>doesn’t</w:t>
      </w:r>
      <w:proofErr w:type="gramEnd"/>
      <w:r>
        <w:t xml:space="preserve"> include MDBs?</w:t>
      </w:r>
    </w:p>
  </w:comment>
  <w:comment w:id="1" w:author="aaron atteridge" w:date="2021-05-12T08:08:00Z" w:initials="aa">
    <w:p w14:paraId="2B96F139" w14:textId="77777777" w:rsidR="003262F1" w:rsidRDefault="003262F1" w:rsidP="003262F1">
      <w:pPr>
        <w:pStyle w:val="CommentText"/>
      </w:pPr>
      <w:r>
        <w:rPr>
          <w:rStyle w:val="CommentReference"/>
        </w:rPr>
        <w:annotationRef/>
      </w:r>
      <w:r>
        <w:t xml:space="preserve">Need to check this, since the data in the spreadsheet shows as 2018 amounts even though the last year in the data is </w:t>
      </w:r>
      <w:proofErr w:type="gramStart"/>
      <w:r>
        <w:t>2018</w:t>
      </w:r>
      <w:proofErr w:type="gramEnd"/>
    </w:p>
  </w:comment>
  <w:comment w:id="2" w:author="aaron atteridge" w:date="2021-05-12T08:15:00Z" w:initials="aa">
    <w:p w14:paraId="6E3920C1" w14:textId="3BD96E7E" w:rsidR="00527B7B" w:rsidRDefault="00527B7B">
      <w:pPr>
        <w:pStyle w:val="CommentText"/>
      </w:pPr>
      <w:r>
        <w:rPr>
          <w:rStyle w:val="CommentReference"/>
        </w:rPr>
        <w:annotationRef/>
      </w:r>
      <w:r>
        <w:t>This dataset contains only commitments, not disbursements. For the section of our analysis that looks at disbursements, we need to use Aid Atlas</w:t>
      </w:r>
      <w:r w:rsidR="002815E0">
        <w:t xml:space="preserve"> (separate analysis)</w:t>
      </w:r>
      <w:r>
        <w:t xml:space="preserve"> and it </w:t>
      </w:r>
      <w:proofErr w:type="gramStart"/>
      <w:r>
        <w:t>won’t</w:t>
      </w:r>
      <w:proofErr w:type="gramEnd"/>
      <w:r>
        <w:t xml:space="preserve"> cover the MDBs. </w:t>
      </w:r>
      <w:r w:rsidR="000C74FA">
        <w:t xml:space="preserve">This might be something we should communicate to CRUX – actually, we could do that in a draft report. </w:t>
      </w:r>
      <w:r w:rsidR="009705FF">
        <w:t xml:space="preserve">See my note further below. </w:t>
      </w:r>
    </w:p>
  </w:comment>
  <w:comment w:id="3" w:author="May Thazin Aung" w:date="2021-05-14T13:07:00Z" w:initials="MTA">
    <w:p w14:paraId="696DB761" w14:textId="16580E5D" w:rsidR="002C176A" w:rsidRDefault="002C176A">
      <w:pPr>
        <w:pStyle w:val="CommentText"/>
      </w:pPr>
      <w:r>
        <w:rPr>
          <w:rStyle w:val="CommentReference"/>
        </w:rPr>
        <w:annotationRef/>
      </w:r>
      <w:r>
        <w:t xml:space="preserve">Where does </w:t>
      </w:r>
      <w:proofErr w:type="spellStart"/>
      <w:r>
        <w:t>aidatlas</w:t>
      </w:r>
      <w:proofErr w:type="spellEnd"/>
      <w:r>
        <w:t xml:space="preserve"> get commitment data from?</w:t>
      </w:r>
    </w:p>
  </w:comment>
  <w:comment w:id="4" w:author="aaron atteridge" w:date="2021-05-13T10:09:00Z" w:initials="aa">
    <w:p w14:paraId="71CCD825" w14:textId="0D734CD4" w:rsidR="00074A3B" w:rsidRDefault="00074A3B">
      <w:pPr>
        <w:pStyle w:val="CommentText"/>
      </w:pPr>
      <w:r>
        <w:rPr>
          <w:rStyle w:val="CommentReference"/>
        </w:rPr>
        <w:annotationRef/>
      </w:r>
      <w:r>
        <w:t xml:space="preserve">I am not 100% sure of this, it </w:t>
      </w:r>
      <w:proofErr w:type="gramStart"/>
      <w:r>
        <w:t>doesn’t</w:t>
      </w:r>
      <w:proofErr w:type="gramEnd"/>
      <w:r>
        <w:t xml:space="preserve"> seem to be necessary so </w:t>
      </w:r>
      <w:r w:rsidRPr="000B1E8B">
        <w:rPr>
          <w:b/>
          <w:bCs/>
          <w:highlight w:val="yellow"/>
        </w:rPr>
        <w:t>let’s NOT do this step for now</w:t>
      </w:r>
      <w:r>
        <w:t xml:space="preserve"> but leave here in case we need to understand later why something didn’t work. </w:t>
      </w:r>
    </w:p>
  </w:comment>
  <w:comment w:id="5" w:author="aaron atteridge" w:date="2021-05-13T10:11:00Z" w:initials="aa">
    <w:p w14:paraId="425105C9" w14:textId="5EDAD469" w:rsidR="00E5191F" w:rsidRDefault="00E5191F">
      <w:pPr>
        <w:pStyle w:val="CommentText"/>
      </w:pPr>
      <w:r>
        <w:rPr>
          <w:rStyle w:val="CommentReference"/>
        </w:rPr>
        <w:annotationRef/>
      </w:r>
      <w:r>
        <w:t>May: can you please insert our final agreed list with CRUX</w:t>
      </w:r>
    </w:p>
  </w:comment>
  <w:comment w:id="6" w:author="May Thazin Aung" w:date="2021-05-14T10:32:00Z" w:initials="MTA">
    <w:p w14:paraId="4D312F7C" w14:textId="3622155E" w:rsidR="000762A3" w:rsidRDefault="000762A3">
      <w:pPr>
        <w:pStyle w:val="CommentText"/>
      </w:pPr>
      <w:r>
        <w:rPr>
          <w:rStyle w:val="CommentReference"/>
        </w:rPr>
        <w:annotationRef/>
      </w:r>
      <w:r>
        <w:t>done</w:t>
      </w:r>
    </w:p>
  </w:comment>
  <w:comment w:id="7" w:author="aaron atteridge" w:date="2021-05-13T10:25:00Z" w:initials="aa">
    <w:p w14:paraId="1A56F63E" w14:textId="24ED77C8" w:rsidR="008640B6" w:rsidRDefault="008640B6">
      <w:pPr>
        <w:pStyle w:val="CommentText"/>
      </w:pPr>
      <w:r>
        <w:rPr>
          <w:rStyle w:val="CommentReference"/>
        </w:rPr>
        <w:annotationRef/>
      </w:r>
      <w:r>
        <w:t>Sub-sector code numbers are in column AB, the sub-sector names are in Column AD)</w:t>
      </w:r>
    </w:p>
  </w:comment>
  <w:comment w:id="8" w:author="May Thazin Aung" w:date="2021-05-14T10:37:00Z" w:initials="MTA">
    <w:p w14:paraId="048C88F6" w14:textId="77777777" w:rsidR="000E66F0" w:rsidRDefault="000E66F0">
      <w:pPr>
        <w:pStyle w:val="CommentText"/>
      </w:pPr>
      <w:r>
        <w:rPr>
          <w:rStyle w:val="CommentReference"/>
        </w:rPr>
        <w:annotationRef/>
      </w:r>
      <w:r>
        <w:t xml:space="preserve">Cristina added a </w:t>
      </w:r>
      <w:r w:rsidR="00201562">
        <w:t xml:space="preserve">couple of new ones in the final </w:t>
      </w:r>
      <w:proofErr w:type="gramStart"/>
      <w:r w:rsidR="00201562">
        <w:t>version</w:t>
      </w:r>
      <w:proofErr w:type="gramEnd"/>
      <w:r w:rsidR="00201562">
        <w:t xml:space="preserve"> </w:t>
      </w:r>
    </w:p>
    <w:p w14:paraId="22BD6319" w14:textId="77777777" w:rsidR="00D9653D" w:rsidRDefault="00D9653D">
      <w:pPr>
        <w:pStyle w:val="CommentText"/>
      </w:pPr>
    </w:p>
    <w:p w14:paraId="5DC83D4D" w14:textId="4E699115" w:rsidR="00D9653D" w:rsidRDefault="00D9653D">
      <w:pPr>
        <w:pStyle w:val="CommentText"/>
      </w:pPr>
      <w:r>
        <w:t xml:space="preserve">She also wanted to add energy regulation but there is no code for </w:t>
      </w:r>
      <w:proofErr w:type="gramStart"/>
      <w:r>
        <w:t>this</w:t>
      </w:r>
      <w:proofErr w:type="gramEnd"/>
    </w:p>
  </w:comment>
  <w:comment w:id="9" w:author="aaron atteridge" w:date="2021-05-13T10:28:00Z" w:initials="aa">
    <w:p w14:paraId="2402A04D" w14:textId="3E6AE74B" w:rsidR="00C1077B" w:rsidRDefault="00C1077B">
      <w:pPr>
        <w:pStyle w:val="CommentText"/>
      </w:pPr>
      <w:r>
        <w:rPr>
          <w:rStyle w:val="CommentReference"/>
        </w:rPr>
        <w:annotationRef/>
      </w:r>
      <w:r>
        <w:t>Are we also expected to produce reports for each recipient too?</w:t>
      </w:r>
    </w:p>
  </w:comment>
  <w:comment w:id="10" w:author="aaron atteridge" w:date="2021-05-13T10:35:00Z" w:initials="aa">
    <w:p w14:paraId="44666599" w14:textId="60C4A010" w:rsidR="004936DD" w:rsidRDefault="004936DD">
      <w:pPr>
        <w:pStyle w:val="CommentText"/>
      </w:pPr>
      <w:r>
        <w:rPr>
          <w:rStyle w:val="CommentReference"/>
        </w:rPr>
        <w:annotationRef/>
      </w:r>
      <w:r>
        <w:t>To be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FCD3" w15:done="0"/>
  <w15:commentEx w15:paraId="2B96F139" w15:done="0"/>
  <w15:commentEx w15:paraId="6E3920C1" w15:done="0"/>
  <w15:commentEx w15:paraId="696DB761" w15:paraIdParent="6E3920C1" w15:done="0"/>
  <w15:commentEx w15:paraId="71CCD825" w15:done="0"/>
  <w15:commentEx w15:paraId="425105C9" w15:done="0"/>
  <w15:commentEx w15:paraId="4D312F7C" w15:paraIdParent="425105C9" w15:done="0"/>
  <w15:commentEx w15:paraId="1A56F63E" w15:done="0"/>
  <w15:commentEx w15:paraId="5DC83D4D" w15:paraIdParent="1A56F63E" w15:done="0"/>
  <w15:commentEx w15:paraId="2402A04D" w15:done="0"/>
  <w15:commentEx w15:paraId="446665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F441" w16cex:dateUtc="2021-05-14T06:06:00Z"/>
  <w16cex:commentExtensible w16cex:durableId="24460B69" w16cex:dateUtc="2021-05-11T22:08:00Z"/>
  <w16cex:commentExtensible w16cex:durableId="24460D0F" w16cex:dateUtc="2021-05-11T22:15:00Z"/>
  <w16cex:commentExtensible w16cex:durableId="2448F487" w16cex:dateUtc="2021-05-14T06:07:00Z"/>
  <w16cex:commentExtensible w16cex:durableId="24477970" w16cex:dateUtc="2021-05-13T00:09:00Z"/>
  <w16cex:commentExtensible w16cex:durableId="244779D9" w16cex:dateUtc="2021-05-13T00:11:00Z"/>
  <w16cex:commentExtensible w16cex:durableId="2448D05A" w16cex:dateUtc="2021-05-14T03:32:00Z"/>
  <w16cex:commentExtensible w16cex:durableId="24477D20" w16cex:dateUtc="2021-05-13T00:25:00Z"/>
  <w16cex:commentExtensible w16cex:durableId="2448D172" w16cex:dateUtc="2021-05-14T03:37:00Z"/>
  <w16cex:commentExtensible w16cex:durableId="24477DB0" w16cex:dateUtc="2021-05-13T00:28:00Z"/>
  <w16cex:commentExtensible w16cex:durableId="24477F80" w16cex:dateUtc="2021-05-13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FCD3" w16cid:durableId="2448F441"/>
  <w16cid:commentId w16cid:paraId="2B96F139" w16cid:durableId="24460B69"/>
  <w16cid:commentId w16cid:paraId="6E3920C1" w16cid:durableId="24460D0F"/>
  <w16cid:commentId w16cid:paraId="696DB761" w16cid:durableId="2448F487"/>
  <w16cid:commentId w16cid:paraId="71CCD825" w16cid:durableId="24477970"/>
  <w16cid:commentId w16cid:paraId="425105C9" w16cid:durableId="244779D9"/>
  <w16cid:commentId w16cid:paraId="4D312F7C" w16cid:durableId="2448D05A"/>
  <w16cid:commentId w16cid:paraId="1A56F63E" w16cid:durableId="24477D20"/>
  <w16cid:commentId w16cid:paraId="5DC83D4D" w16cid:durableId="2448D172"/>
  <w16cid:commentId w16cid:paraId="2402A04D" w16cid:durableId="24477DB0"/>
  <w16cid:commentId w16cid:paraId="44666599" w16cid:durableId="24477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DE05" w14:textId="77777777" w:rsidR="0083362F" w:rsidRDefault="0083362F" w:rsidP="002528F4">
      <w:r>
        <w:separator/>
      </w:r>
    </w:p>
  </w:endnote>
  <w:endnote w:type="continuationSeparator" w:id="0">
    <w:p w14:paraId="2D8E0828" w14:textId="77777777" w:rsidR="0083362F" w:rsidRDefault="0083362F" w:rsidP="002528F4">
      <w:r>
        <w:continuationSeparator/>
      </w:r>
    </w:p>
  </w:endnote>
  <w:endnote w:type="continuationNotice" w:id="1">
    <w:p w14:paraId="50C1241D" w14:textId="77777777" w:rsidR="0083362F" w:rsidRDefault="00833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74022" w14:textId="77777777" w:rsidR="0083362F" w:rsidRDefault="0083362F" w:rsidP="002528F4">
      <w:r>
        <w:separator/>
      </w:r>
    </w:p>
  </w:footnote>
  <w:footnote w:type="continuationSeparator" w:id="0">
    <w:p w14:paraId="3D0554B7" w14:textId="77777777" w:rsidR="0083362F" w:rsidRDefault="0083362F" w:rsidP="002528F4">
      <w:r>
        <w:continuationSeparator/>
      </w:r>
    </w:p>
  </w:footnote>
  <w:footnote w:type="continuationNotice" w:id="1">
    <w:p w14:paraId="757A12AB" w14:textId="77777777" w:rsidR="0083362F" w:rsidRDefault="0083362F"/>
  </w:footnote>
  <w:footnote w:id="2">
    <w:p w14:paraId="494C2B1F" w14:textId="10762908" w:rsidR="00A64F59" w:rsidRPr="00A64F59" w:rsidRDefault="00A64F59">
      <w:pPr>
        <w:pStyle w:val="FootnoteText"/>
        <w:rPr>
          <w:sz w:val="18"/>
          <w:szCs w:val="18"/>
          <w:lang w:val="en-AU"/>
        </w:rPr>
      </w:pPr>
      <w:r>
        <w:rPr>
          <w:rStyle w:val="FootnoteReference"/>
        </w:rPr>
        <w:footnoteRef/>
      </w:r>
      <w:r>
        <w:t xml:space="preserve"> </w:t>
      </w:r>
      <w:r w:rsidRPr="00A64F59">
        <w:rPr>
          <w:sz w:val="18"/>
          <w:szCs w:val="18"/>
          <w:lang w:val="en-AU"/>
        </w:rPr>
        <w:t>Unfortunately, 2019 data is not yet published in this database at the time of our analysis.</w:t>
      </w:r>
    </w:p>
  </w:footnote>
  <w:footnote w:id="3">
    <w:p w14:paraId="64B5E003" w14:textId="22DFB4C4" w:rsidR="007E53E8" w:rsidRPr="007E53E8" w:rsidRDefault="007E53E8">
      <w:pPr>
        <w:pStyle w:val="FootnoteText"/>
        <w:rPr>
          <w:sz w:val="18"/>
          <w:szCs w:val="18"/>
          <w:lang w:val="en-AU"/>
        </w:rPr>
      </w:pPr>
      <w:r w:rsidRPr="007E53E8">
        <w:rPr>
          <w:rStyle w:val="FootnoteReference"/>
          <w:sz w:val="18"/>
          <w:szCs w:val="18"/>
        </w:rPr>
        <w:footnoteRef/>
      </w:r>
      <w:r w:rsidRPr="007E53E8">
        <w:rPr>
          <w:sz w:val="18"/>
          <w:szCs w:val="18"/>
        </w:rPr>
        <w:t xml:space="preserve"> </w:t>
      </w:r>
      <w:r w:rsidRPr="007E53E8">
        <w:rPr>
          <w:rStyle w:val="None"/>
          <w:sz w:val="18"/>
          <w:szCs w:val="18"/>
        </w:rPr>
        <w:t xml:space="preserve">The GCF exists to channel financial support to developing countries specifically for climate change action. However, in reporting to the OECD, </w:t>
      </w:r>
      <w:proofErr w:type="gramStart"/>
      <w:r w:rsidRPr="007E53E8">
        <w:rPr>
          <w:rStyle w:val="None"/>
          <w:sz w:val="18"/>
          <w:szCs w:val="18"/>
        </w:rPr>
        <w:t>all of</w:t>
      </w:r>
      <w:proofErr w:type="gramEnd"/>
      <w:r w:rsidRPr="007E53E8">
        <w:rPr>
          <w:rStyle w:val="None"/>
          <w:sz w:val="18"/>
          <w:szCs w:val="18"/>
        </w:rPr>
        <w:t xml:space="preserve"> the GCF’s commitments have been tagged as “significantly” rather than “principally” targeting climate change. This is in fact a coding error by the GCF itself (confirmed by personal communication with the GCF Secretariat in October 2020). Thus, to ensure the GCF data are included in the analysis, all GCF commitments are re-coded manually as ‘principally’ targeting climate change mitigation and/or </w:t>
      </w:r>
      <w:proofErr w:type="gramStart"/>
      <w:r w:rsidRPr="007E53E8">
        <w:rPr>
          <w:rStyle w:val="None"/>
          <w:sz w:val="18"/>
          <w:szCs w:val="18"/>
        </w:rPr>
        <w:t>adaptation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AA12" w14:textId="76CA2943" w:rsidR="002528F4" w:rsidRPr="002528F4" w:rsidRDefault="002528F4" w:rsidP="002528F4">
    <w:pPr>
      <w:pStyle w:val="Header"/>
      <w:jc w:val="right"/>
      <w:rPr>
        <w:b/>
        <w:bCs/>
        <w:sz w:val="20"/>
        <w:szCs w:val="20"/>
        <w:lang w:val="en-AU"/>
      </w:rPr>
    </w:pPr>
    <w:r w:rsidRPr="002528F4">
      <w:rPr>
        <w:b/>
        <w:bCs/>
        <w:sz w:val="20"/>
        <w:szCs w:val="20"/>
        <w:lang w:val="en-AU"/>
      </w:rPr>
      <w:t>CRUX analysis -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A01"/>
    <w:multiLevelType w:val="hybridMultilevel"/>
    <w:tmpl w:val="BCA0DF0C"/>
    <w:lvl w:ilvl="0" w:tplc="729C27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06C98"/>
    <w:multiLevelType w:val="hybridMultilevel"/>
    <w:tmpl w:val="C50015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F5842"/>
    <w:multiLevelType w:val="hybridMultilevel"/>
    <w:tmpl w:val="69C05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63C58"/>
    <w:multiLevelType w:val="hybridMultilevel"/>
    <w:tmpl w:val="8C342610"/>
    <w:styleLink w:val="ImportedStyle8"/>
    <w:lvl w:ilvl="0" w:tplc="BF14D8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186A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BA628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F94B8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F247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8E278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E78ED8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98E3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C4AC0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7F769F"/>
    <w:multiLevelType w:val="hybridMultilevel"/>
    <w:tmpl w:val="240410FC"/>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73029044">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F80200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EC24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1A6E7A">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DB6C65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846A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A0557E">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87F498D"/>
    <w:multiLevelType w:val="hybridMultilevel"/>
    <w:tmpl w:val="8C342610"/>
    <w:numStyleLink w:val="ImportedStyle8"/>
  </w:abstractNum>
  <w:abstractNum w:abstractNumId="6" w15:restartNumberingAfterBreak="0">
    <w:nsid w:val="33382D2F"/>
    <w:multiLevelType w:val="hybridMultilevel"/>
    <w:tmpl w:val="62E0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0464A1"/>
    <w:multiLevelType w:val="hybridMultilevel"/>
    <w:tmpl w:val="9E28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C702C2"/>
    <w:multiLevelType w:val="multilevel"/>
    <w:tmpl w:val="69C05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90A07"/>
    <w:multiLevelType w:val="hybridMultilevel"/>
    <w:tmpl w:val="9BE4FABE"/>
    <w:lvl w:ilvl="0" w:tplc="A89E419E">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E01EE"/>
    <w:multiLevelType w:val="hybridMultilevel"/>
    <w:tmpl w:val="CC821888"/>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1">
      <w:start w:val="1"/>
      <w:numFmt w:val="decimal"/>
      <w:lvlText w:val="%2."/>
      <w:lvlJc w:val="left"/>
      <w:pPr>
        <w:ind w:left="144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2" w:tplc="73029044">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F80200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EC24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1A6E7A">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DB6C65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846A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A0557E">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13B519B"/>
    <w:multiLevelType w:val="hybridMultilevel"/>
    <w:tmpl w:val="30208FE6"/>
    <w:lvl w:ilvl="0" w:tplc="ABE4C482">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384DD4"/>
    <w:multiLevelType w:val="multilevel"/>
    <w:tmpl w:val="69C05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8D336F"/>
    <w:multiLevelType w:val="hybridMultilevel"/>
    <w:tmpl w:val="E1D2C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F5266B2"/>
    <w:multiLevelType w:val="hybridMultilevel"/>
    <w:tmpl w:val="ED7A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8"/>
  </w:num>
  <w:num w:numId="6">
    <w:abstractNumId w:val="12"/>
  </w:num>
  <w:num w:numId="7">
    <w:abstractNumId w:val="11"/>
  </w:num>
  <w:num w:numId="8">
    <w:abstractNumId w:val="13"/>
  </w:num>
  <w:num w:numId="9">
    <w:abstractNumId w:val="9"/>
  </w:num>
  <w:num w:numId="10">
    <w:abstractNumId w:val="6"/>
  </w:num>
  <w:num w:numId="11">
    <w:abstractNumId w:val="14"/>
  </w:num>
  <w:num w:numId="12">
    <w:abstractNumId w:val="7"/>
  </w:num>
  <w:num w:numId="13">
    <w:abstractNumId w:val="4"/>
  </w:num>
  <w:num w:numId="14">
    <w:abstractNumId w:val="10"/>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 Thazin Aung">
    <w15:presenceInfo w15:providerId="AD" w15:userId="S::may.aung@sei.org::695fb082-addc-4281-a023-eb7f1b7c921f"/>
  </w15:person>
  <w15:person w15:author="aaron atteridge">
    <w15:presenceInfo w15:providerId="Windows Live" w15:userId="9c7711e151d1c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F4"/>
    <w:rsid w:val="00016ACF"/>
    <w:rsid w:val="00061A67"/>
    <w:rsid w:val="00063EFD"/>
    <w:rsid w:val="00074A3B"/>
    <w:rsid w:val="000762A3"/>
    <w:rsid w:val="00085F25"/>
    <w:rsid w:val="000868F2"/>
    <w:rsid w:val="000A6B0E"/>
    <w:rsid w:val="000B1E8B"/>
    <w:rsid w:val="000B7E32"/>
    <w:rsid w:val="000C74FA"/>
    <w:rsid w:val="000D11D6"/>
    <w:rsid w:val="000E66F0"/>
    <w:rsid w:val="00152036"/>
    <w:rsid w:val="00157D7C"/>
    <w:rsid w:val="00157EF8"/>
    <w:rsid w:val="001977B2"/>
    <w:rsid w:val="001D1BD7"/>
    <w:rsid w:val="001F0569"/>
    <w:rsid w:val="001F5E7E"/>
    <w:rsid w:val="00201562"/>
    <w:rsid w:val="002138EA"/>
    <w:rsid w:val="00233ACE"/>
    <w:rsid w:val="002528F4"/>
    <w:rsid w:val="00263937"/>
    <w:rsid w:val="002815E0"/>
    <w:rsid w:val="00282C3E"/>
    <w:rsid w:val="002A491C"/>
    <w:rsid w:val="002B20E9"/>
    <w:rsid w:val="002C176A"/>
    <w:rsid w:val="002C53AC"/>
    <w:rsid w:val="003128AD"/>
    <w:rsid w:val="00325245"/>
    <w:rsid w:val="003262F1"/>
    <w:rsid w:val="00327459"/>
    <w:rsid w:val="003504CB"/>
    <w:rsid w:val="00391DF2"/>
    <w:rsid w:val="003B4050"/>
    <w:rsid w:val="003C428A"/>
    <w:rsid w:val="003E782B"/>
    <w:rsid w:val="003F0EDE"/>
    <w:rsid w:val="0040062D"/>
    <w:rsid w:val="004936DD"/>
    <w:rsid w:val="004B69F4"/>
    <w:rsid w:val="004D26E1"/>
    <w:rsid w:val="004F1E18"/>
    <w:rsid w:val="005244A8"/>
    <w:rsid w:val="00527B7B"/>
    <w:rsid w:val="00577CA7"/>
    <w:rsid w:val="00584124"/>
    <w:rsid w:val="00584BB2"/>
    <w:rsid w:val="00587338"/>
    <w:rsid w:val="005A26E2"/>
    <w:rsid w:val="005A6034"/>
    <w:rsid w:val="005B4B5F"/>
    <w:rsid w:val="005C3289"/>
    <w:rsid w:val="00601265"/>
    <w:rsid w:val="00604E0B"/>
    <w:rsid w:val="0063287A"/>
    <w:rsid w:val="00654312"/>
    <w:rsid w:val="006675CE"/>
    <w:rsid w:val="006B2B6E"/>
    <w:rsid w:val="006C7DF3"/>
    <w:rsid w:val="006E3A88"/>
    <w:rsid w:val="00723680"/>
    <w:rsid w:val="00795B7C"/>
    <w:rsid w:val="007D5A22"/>
    <w:rsid w:val="007E53E8"/>
    <w:rsid w:val="007F06D9"/>
    <w:rsid w:val="008207E7"/>
    <w:rsid w:val="00825CD0"/>
    <w:rsid w:val="00831D86"/>
    <w:rsid w:val="0083362F"/>
    <w:rsid w:val="008640B6"/>
    <w:rsid w:val="00871DC9"/>
    <w:rsid w:val="008A3BA8"/>
    <w:rsid w:val="008A6D31"/>
    <w:rsid w:val="008B31B1"/>
    <w:rsid w:val="008F29C9"/>
    <w:rsid w:val="009063A9"/>
    <w:rsid w:val="009236D3"/>
    <w:rsid w:val="0094046A"/>
    <w:rsid w:val="00956253"/>
    <w:rsid w:val="009705FF"/>
    <w:rsid w:val="00971475"/>
    <w:rsid w:val="00977CED"/>
    <w:rsid w:val="00980611"/>
    <w:rsid w:val="009A3292"/>
    <w:rsid w:val="009C1BD3"/>
    <w:rsid w:val="009D5806"/>
    <w:rsid w:val="009F0351"/>
    <w:rsid w:val="00A23CA9"/>
    <w:rsid w:val="00A3367C"/>
    <w:rsid w:val="00A42D1E"/>
    <w:rsid w:val="00A64F59"/>
    <w:rsid w:val="00A74197"/>
    <w:rsid w:val="00A80E44"/>
    <w:rsid w:val="00AE4707"/>
    <w:rsid w:val="00AE5FCB"/>
    <w:rsid w:val="00AF0A73"/>
    <w:rsid w:val="00B02E8E"/>
    <w:rsid w:val="00B154E0"/>
    <w:rsid w:val="00B45045"/>
    <w:rsid w:val="00B81B3B"/>
    <w:rsid w:val="00BC244C"/>
    <w:rsid w:val="00BD253E"/>
    <w:rsid w:val="00BE6A93"/>
    <w:rsid w:val="00BF0097"/>
    <w:rsid w:val="00C1077B"/>
    <w:rsid w:val="00C10FE8"/>
    <w:rsid w:val="00C11C90"/>
    <w:rsid w:val="00C24EA5"/>
    <w:rsid w:val="00C279F8"/>
    <w:rsid w:val="00C46CC7"/>
    <w:rsid w:val="00C67619"/>
    <w:rsid w:val="00C7137D"/>
    <w:rsid w:val="00C842AD"/>
    <w:rsid w:val="00CB4488"/>
    <w:rsid w:val="00CB7EFA"/>
    <w:rsid w:val="00D0179D"/>
    <w:rsid w:val="00D201DE"/>
    <w:rsid w:val="00D271F4"/>
    <w:rsid w:val="00D4310E"/>
    <w:rsid w:val="00D5128B"/>
    <w:rsid w:val="00D7567A"/>
    <w:rsid w:val="00D9653D"/>
    <w:rsid w:val="00DA2D6F"/>
    <w:rsid w:val="00DA3608"/>
    <w:rsid w:val="00DC3CAD"/>
    <w:rsid w:val="00E5191F"/>
    <w:rsid w:val="00E75E2D"/>
    <w:rsid w:val="00EF1DAE"/>
    <w:rsid w:val="00EF58AF"/>
    <w:rsid w:val="00F21B60"/>
    <w:rsid w:val="00F439D4"/>
    <w:rsid w:val="00F65FD7"/>
    <w:rsid w:val="00F970D8"/>
    <w:rsid w:val="00FA5D52"/>
    <w:rsid w:val="00FB5874"/>
    <w:rsid w:val="00FC6E81"/>
    <w:rsid w:val="00FD0E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7415"/>
  <w15:chartTrackingRefBased/>
  <w15:docId w15:val="{C1B89781-EFEC-9B42-8C9C-3882B87E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F4"/>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1">
    <w:name w:val="heading 1"/>
    <w:basedOn w:val="Normal"/>
    <w:next w:val="Normal"/>
    <w:link w:val="Heading1Char"/>
    <w:uiPriority w:val="9"/>
    <w:qFormat/>
    <w:rsid w:val="00AF0A73"/>
    <w:pPr>
      <w:keepNext/>
      <w:keepLines/>
      <w:spacing w:before="240" w:after="240"/>
      <w:outlineLvl w:val="0"/>
    </w:pPr>
    <w:rPr>
      <w:rFonts w:eastAsiaTheme="majorEastAsia" w:cstheme="majorBidi"/>
      <w:b/>
      <w:color w:val="2F5496" w:themeColor="accent1" w:themeShade="BF"/>
      <w:sz w:val="32"/>
      <w:szCs w:val="32"/>
      <w:lang w:eastAsia="en-ZA"/>
    </w:rPr>
  </w:style>
  <w:style w:type="paragraph" w:styleId="Heading2">
    <w:name w:val="heading 2"/>
    <w:basedOn w:val="Normal"/>
    <w:next w:val="Normal"/>
    <w:link w:val="Heading2Char"/>
    <w:uiPriority w:val="9"/>
    <w:unhideWhenUsed/>
    <w:qFormat/>
    <w:rsid w:val="00AF0A73"/>
    <w:pPr>
      <w:keepNext/>
      <w:keepLines/>
      <w:spacing w:before="240" w:after="2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80611"/>
    <w:pPr>
      <w:keepNext/>
      <w:keepLines/>
      <w:outlineLvl w:val="2"/>
    </w:pPr>
    <w:rPr>
      <w:rFonts w:eastAsiaTheme="majorEastAsia" w:cstheme="majorBidi"/>
      <w:b/>
      <w: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BB2"/>
    <w:pPr>
      <w:ind w:left="720"/>
    </w:pPr>
  </w:style>
  <w:style w:type="character" w:customStyle="1" w:styleId="Heading2Char">
    <w:name w:val="Heading 2 Char"/>
    <w:basedOn w:val="DefaultParagraphFont"/>
    <w:link w:val="Heading2"/>
    <w:uiPriority w:val="9"/>
    <w:rsid w:val="00AF0A73"/>
    <w:rPr>
      <w:rFonts w:ascii="Times New Roman" w:eastAsiaTheme="majorEastAsia" w:hAnsi="Times New Roman" w:cstheme="majorBidi"/>
      <w:b/>
      <w:color w:val="2F5496" w:themeColor="accent1" w:themeShade="BF"/>
      <w:sz w:val="28"/>
      <w:szCs w:val="26"/>
      <w:lang w:eastAsia="en-GB"/>
    </w:rPr>
  </w:style>
  <w:style w:type="character" w:customStyle="1" w:styleId="Heading1Char">
    <w:name w:val="Heading 1 Char"/>
    <w:basedOn w:val="DefaultParagraphFont"/>
    <w:link w:val="Heading1"/>
    <w:uiPriority w:val="9"/>
    <w:rsid w:val="00AF0A73"/>
    <w:rPr>
      <w:rFonts w:ascii="Times New Roman" w:eastAsiaTheme="majorEastAsia" w:hAnsi="Times New Roman" w:cstheme="majorBidi"/>
      <w:b/>
      <w:color w:val="2F5496" w:themeColor="accent1" w:themeShade="BF"/>
      <w:sz w:val="32"/>
      <w:szCs w:val="32"/>
      <w:lang w:val="en-US" w:eastAsia="en-ZA"/>
    </w:rPr>
  </w:style>
  <w:style w:type="character" w:customStyle="1" w:styleId="Heading3Char">
    <w:name w:val="Heading 3 Char"/>
    <w:basedOn w:val="DefaultParagraphFont"/>
    <w:link w:val="Heading3"/>
    <w:uiPriority w:val="9"/>
    <w:rsid w:val="00980611"/>
    <w:rPr>
      <w:rFonts w:ascii="Times New Roman" w:eastAsiaTheme="majorEastAsia" w:hAnsi="Times New Roman" w:cstheme="majorBidi"/>
      <w:b/>
      <w:i/>
      <w:color w:val="0070C0"/>
      <w:sz w:val="22"/>
      <w:lang w:eastAsia="en-GB"/>
    </w:rPr>
  </w:style>
  <w:style w:type="paragraph" w:customStyle="1" w:styleId="BodyA">
    <w:name w:val="Body A"/>
    <w:rsid w:val="002528F4"/>
    <w:pPr>
      <w:pBdr>
        <w:top w:val="nil"/>
        <w:left w:val="nil"/>
        <w:bottom w:val="nil"/>
        <w:right w:val="nil"/>
        <w:between w:val="nil"/>
        <w:bar w:val="nil"/>
      </w:pBdr>
      <w:spacing w:before="120" w:after="120"/>
    </w:pPr>
    <w:rPr>
      <w:rFonts w:ascii="Times Roman" w:eastAsia="Arial Unicode MS" w:hAnsi="Times Roman" w:cs="Arial Unicode MS"/>
      <w:color w:val="000000"/>
      <w:sz w:val="22"/>
      <w:szCs w:val="22"/>
      <w:u w:color="000000"/>
      <w:bdr w:val="nil"/>
      <w:lang w:val="en-US" w:eastAsia="en-GB"/>
    </w:rPr>
  </w:style>
  <w:style w:type="paragraph" w:customStyle="1" w:styleId="Default">
    <w:name w:val="Default"/>
    <w:rsid w:val="002528F4"/>
    <w:pPr>
      <w:pBdr>
        <w:top w:val="nil"/>
        <w:left w:val="nil"/>
        <w:bottom w:val="nil"/>
        <w:right w:val="nil"/>
        <w:between w:val="nil"/>
        <w:bar w:val="nil"/>
      </w:pBdr>
      <w:spacing w:before="160"/>
    </w:pPr>
    <w:rPr>
      <w:rFonts w:ascii="Helvetica Neue" w:eastAsia="Helvetica Neue" w:hAnsi="Helvetica Neue" w:cs="Helvetica Neue"/>
      <w:color w:val="000000"/>
      <w:u w:color="000000"/>
      <w:bdr w:val="nil"/>
      <w:lang w:val="en-US" w:eastAsia="en-GB"/>
      <w14:textOutline w14:w="0" w14:cap="flat" w14:cmpd="sng" w14:algn="ctr">
        <w14:noFill/>
        <w14:prstDash w14:val="solid"/>
        <w14:bevel/>
      </w14:textOutline>
    </w:rPr>
  </w:style>
  <w:style w:type="character" w:customStyle="1" w:styleId="None">
    <w:name w:val="None"/>
    <w:rsid w:val="002528F4"/>
  </w:style>
  <w:style w:type="paragraph" w:customStyle="1" w:styleId="Body">
    <w:name w:val="Body"/>
    <w:rsid w:val="002528F4"/>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customStyle="1" w:styleId="Hyperlink3">
    <w:name w:val="Hyperlink.3"/>
    <w:basedOn w:val="None"/>
    <w:rsid w:val="002528F4"/>
    <w:rPr>
      <w:rFonts w:ascii="Times New Roman" w:eastAsia="Times New Roman" w:hAnsi="Times New Roman" w:cs="Times New Roman"/>
      <w:sz w:val="22"/>
      <w:szCs w:val="22"/>
      <w:u w:val="single"/>
      <w:lang w:val="en-US"/>
    </w:rPr>
  </w:style>
  <w:style w:type="numbering" w:customStyle="1" w:styleId="ImportedStyle8">
    <w:name w:val="Imported Style 8"/>
    <w:rsid w:val="002528F4"/>
    <w:pPr>
      <w:numPr>
        <w:numId w:val="1"/>
      </w:numPr>
    </w:pPr>
  </w:style>
  <w:style w:type="character" w:customStyle="1" w:styleId="Hyperlink4">
    <w:name w:val="Hyperlink.4"/>
    <w:basedOn w:val="None"/>
    <w:rsid w:val="002528F4"/>
    <w:rPr>
      <w:outline w:val="0"/>
      <w:color w:val="000000"/>
      <w:u w:val="single" w:color="000000"/>
      <w:lang w:val="en-US"/>
    </w:rPr>
  </w:style>
  <w:style w:type="paragraph" w:styleId="Header">
    <w:name w:val="header"/>
    <w:basedOn w:val="Normal"/>
    <w:link w:val="HeaderChar"/>
    <w:uiPriority w:val="99"/>
    <w:unhideWhenUsed/>
    <w:rsid w:val="002528F4"/>
    <w:pPr>
      <w:tabs>
        <w:tab w:val="center" w:pos="4513"/>
        <w:tab w:val="right" w:pos="9026"/>
      </w:tabs>
    </w:pPr>
  </w:style>
  <w:style w:type="character" w:customStyle="1" w:styleId="HeaderChar">
    <w:name w:val="Header Char"/>
    <w:basedOn w:val="DefaultParagraphFont"/>
    <w:link w:val="Header"/>
    <w:uiPriority w:val="99"/>
    <w:rsid w:val="002528F4"/>
    <w:rPr>
      <w:rFonts w:ascii="Times New Roman" w:eastAsia="Arial Unicode MS" w:hAnsi="Times New Roman" w:cs="Times New Roman"/>
      <w:bdr w:val="nil"/>
      <w:lang w:val="en-US"/>
    </w:rPr>
  </w:style>
  <w:style w:type="paragraph" w:styleId="Footer">
    <w:name w:val="footer"/>
    <w:basedOn w:val="Normal"/>
    <w:link w:val="FooterChar"/>
    <w:uiPriority w:val="99"/>
    <w:unhideWhenUsed/>
    <w:rsid w:val="002528F4"/>
    <w:pPr>
      <w:tabs>
        <w:tab w:val="center" w:pos="4513"/>
        <w:tab w:val="right" w:pos="9026"/>
      </w:tabs>
    </w:pPr>
  </w:style>
  <w:style w:type="character" w:customStyle="1" w:styleId="FooterChar">
    <w:name w:val="Footer Char"/>
    <w:basedOn w:val="DefaultParagraphFont"/>
    <w:link w:val="Footer"/>
    <w:uiPriority w:val="99"/>
    <w:rsid w:val="002528F4"/>
    <w:rPr>
      <w:rFonts w:ascii="Times New Roman" w:eastAsia="Arial Unicode MS" w:hAnsi="Times New Roman" w:cs="Times New Roman"/>
      <w:bdr w:val="nil"/>
      <w:lang w:val="en-US"/>
    </w:rPr>
  </w:style>
  <w:style w:type="character" w:styleId="CommentReference">
    <w:name w:val="annotation reference"/>
    <w:basedOn w:val="DefaultParagraphFont"/>
    <w:uiPriority w:val="99"/>
    <w:semiHidden/>
    <w:unhideWhenUsed/>
    <w:rsid w:val="00BD253E"/>
    <w:rPr>
      <w:sz w:val="16"/>
      <w:szCs w:val="16"/>
    </w:rPr>
  </w:style>
  <w:style w:type="paragraph" w:styleId="CommentText">
    <w:name w:val="annotation text"/>
    <w:basedOn w:val="Normal"/>
    <w:link w:val="CommentTextChar"/>
    <w:uiPriority w:val="99"/>
    <w:semiHidden/>
    <w:unhideWhenUsed/>
    <w:rsid w:val="00BD253E"/>
    <w:rPr>
      <w:sz w:val="20"/>
      <w:szCs w:val="20"/>
    </w:rPr>
  </w:style>
  <w:style w:type="character" w:customStyle="1" w:styleId="CommentTextChar">
    <w:name w:val="Comment Text Char"/>
    <w:basedOn w:val="DefaultParagraphFont"/>
    <w:link w:val="CommentText"/>
    <w:uiPriority w:val="99"/>
    <w:semiHidden/>
    <w:rsid w:val="00BD253E"/>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BD253E"/>
    <w:rPr>
      <w:b/>
      <w:bCs/>
    </w:rPr>
  </w:style>
  <w:style w:type="character" w:customStyle="1" w:styleId="CommentSubjectChar">
    <w:name w:val="Comment Subject Char"/>
    <w:basedOn w:val="CommentTextChar"/>
    <w:link w:val="CommentSubject"/>
    <w:uiPriority w:val="99"/>
    <w:semiHidden/>
    <w:rsid w:val="00BD253E"/>
    <w:rPr>
      <w:rFonts w:ascii="Times New Roman" w:eastAsia="Arial Unicode MS" w:hAnsi="Times New Roman" w:cs="Times New Roman"/>
      <w:b/>
      <w:bCs/>
      <w:sz w:val="20"/>
      <w:szCs w:val="20"/>
      <w:bdr w:val="nil"/>
      <w:lang w:val="en-US"/>
    </w:rPr>
  </w:style>
  <w:style w:type="paragraph" w:styleId="FootnoteText">
    <w:name w:val="footnote text"/>
    <w:basedOn w:val="Normal"/>
    <w:link w:val="FootnoteTextChar"/>
    <w:uiPriority w:val="99"/>
    <w:semiHidden/>
    <w:unhideWhenUsed/>
    <w:rsid w:val="007E53E8"/>
    <w:rPr>
      <w:sz w:val="20"/>
      <w:szCs w:val="20"/>
    </w:rPr>
  </w:style>
  <w:style w:type="character" w:customStyle="1" w:styleId="FootnoteTextChar">
    <w:name w:val="Footnote Text Char"/>
    <w:basedOn w:val="DefaultParagraphFont"/>
    <w:link w:val="FootnoteText"/>
    <w:uiPriority w:val="99"/>
    <w:semiHidden/>
    <w:rsid w:val="007E53E8"/>
    <w:rPr>
      <w:rFonts w:ascii="Times New Roman" w:eastAsia="Arial Unicode MS" w:hAnsi="Times New Roman" w:cs="Times New Roman"/>
      <w:sz w:val="20"/>
      <w:szCs w:val="20"/>
      <w:bdr w:val="nil"/>
      <w:lang w:val="en-US"/>
    </w:rPr>
  </w:style>
  <w:style w:type="character" w:styleId="FootnoteReference">
    <w:name w:val="footnote reference"/>
    <w:basedOn w:val="DefaultParagraphFont"/>
    <w:uiPriority w:val="99"/>
    <w:semiHidden/>
    <w:unhideWhenUsed/>
    <w:rsid w:val="007E53E8"/>
    <w:rPr>
      <w:vertAlign w:val="superscript"/>
    </w:rPr>
  </w:style>
  <w:style w:type="paragraph" w:styleId="NormalWeb">
    <w:name w:val="Normal (Web)"/>
    <w:basedOn w:val="Normal"/>
    <w:uiPriority w:val="99"/>
    <w:unhideWhenUsed/>
    <w:rsid w:val="008640B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bidi="th-TH"/>
    </w:rPr>
  </w:style>
  <w:style w:type="table" w:styleId="TableGrid">
    <w:name w:val="Table Grid"/>
    <w:basedOn w:val="TableNormal"/>
    <w:uiPriority w:val="39"/>
    <w:rsid w:val="005C3289"/>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6766">
      <w:bodyDiv w:val="1"/>
      <w:marLeft w:val="0"/>
      <w:marRight w:val="0"/>
      <w:marTop w:val="0"/>
      <w:marBottom w:val="0"/>
      <w:divBdr>
        <w:top w:val="none" w:sz="0" w:space="0" w:color="auto"/>
        <w:left w:val="none" w:sz="0" w:space="0" w:color="auto"/>
        <w:bottom w:val="none" w:sz="0" w:space="0" w:color="auto"/>
        <w:right w:val="none" w:sz="0" w:space="0" w:color="auto"/>
      </w:divBdr>
    </w:div>
    <w:div w:id="1486242552">
      <w:bodyDiv w:val="1"/>
      <w:marLeft w:val="0"/>
      <w:marRight w:val="0"/>
      <w:marTop w:val="0"/>
      <w:marBottom w:val="0"/>
      <w:divBdr>
        <w:top w:val="none" w:sz="0" w:space="0" w:color="auto"/>
        <w:left w:val="none" w:sz="0" w:space="0" w:color="auto"/>
        <w:bottom w:val="none" w:sz="0" w:space="0" w:color="auto"/>
        <w:right w:val="none" w:sz="0" w:space="0" w:color="auto"/>
      </w:divBdr>
      <w:divsChild>
        <w:div w:id="2012179149">
          <w:marLeft w:val="0"/>
          <w:marRight w:val="0"/>
          <w:marTop w:val="0"/>
          <w:marBottom w:val="0"/>
          <w:divBdr>
            <w:top w:val="none" w:sz="0" w:space="0" w:color="auto"/>
            <w:left w:val="none" w:sz="0" w:space="0" w:color="auto"/>
            <w:bottom w:val="none" w:sz="0" w:space="0" w:color="auto"/>
            <w:right w:val="none" w:sz="0" w:space="0" w:color="auto"/>
          </w:divBdr>
        </w:div>
      </w:divsChild>
    </w:div>
    <w:div w:id="2041085239">
      <w:bodyDiv w:val="1"/>
      <w:marLeft w:val="0"/>
      <w:marRight w:val="0"/>
      <w:marTop w:val="0"/>
      <w:marBottom w:val="0"/>
      <w:divBdr>
        <w:top w:val="none" w:sz="0" w:space="0" w:color="auto"/>
        <w:left w:val="none" w:sz="0" w:space="0" w:color="auto"/>
        <w:bottom w:val="none" w:sz="0" w:space="0" w:color="auto"/>
        <w:right w:val="none" w:sz="0" w:space="0" w:color="auto"/>
      </w:divBdr>
    </w:div>
    <w:div w:id="2086874452">
      <w:bodyDiv w:val="1"/>
      <w:marLeft w:val="0"/>
      <w:marRight w:val="0"/>
      <w:marTop w:val="0"/>
      <w:marBottom w:val="0"/>
      <w:divBdr>
        <w:top w:val="none" w:sz="0" w:space="0" w:color="auto"/>
        <w:left w:val="none" w:sz="0" w:space="0" w:color="auto"/>
        <w:bottom w:val="none" w:sz="0" w:space="0" w:color="auto"/>
        <w:right w:val="none" w:sz="0" w:space="0" w:color="auto"/>
      </w:divBdr>
      <w:divsChild>
        <w:div w:id="196248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oecd.org/dac/stats/informationnoteonthedacdeflators.htm"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ecd.org/dac/financing-sustainable-development/development-finance-topics/climate-chan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2DAE61E223804BAE36186A119B91F9" ma:contentTypeVersion="4" ma:contentTypeDescription="Create a new document." ma:contentTypeScope="" ma:versionID="93a51428691fb71beb83d4d800d9bac5">
  <xsd:schema xmlns:xsd="http://www.w3.org/2001/XMLSchema" xmlns:xs="http://www.w3.org/2001/XMLSchema" xmlns:p="http://schemas.microsoft.com/office/2006/metadata/properties" xmlns:ns2="4c2504bd-7a12-40d2-9aa0-cfdaf81af541" targetNamespace="http://schemas.microsoft.com/office/2006/metadata/properties" ma:root="true" ma:fieldsID="e64b1c715d5f770039b75ae98b445e2e" ns2:_="">
    <xsd:import namespace="4c2504bd-7a12-40d2-9aa0-cfdaf81af5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504bd-7a12-40d2-9aa0-cfdaf81af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F835BE-EEBD-4B8A-8B9F-84F0E959F106}">
  <ds:schemaRefs>
    <ds:schemaRef ds:uri="http://schemas.microsoft.com/sharepoint/v3/contenttype/forms"/>
  </ds:schemaRefs>
</ds:datastoreItem>
</file>

<file path=customXml/itemProps2.xml><?xml version="1.0" encoding="utf-8"?>
<ds:datastoreItem xmlns:ds="http://schemas.openxmlformats.org/officeDocument/2006/customXml" ds:itemID="{5B52572E-E1ED-4E4B-AB37-D56DEBD98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504bd-7a12-40d2-9aa0-cfdaf81af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754792-A458-492A-A5C2-FD309A4539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4601</Words>
  <Characters>26230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30770</CharactersWithSpaces>
  <SharedDoc>false</SharedDoc>
  <HLinks>
    <vt:vector size="12" baseType="variant">
      <vt:variant>
        <vt:i4>6422587</vt:i4>
      </vt:variant>
      <vt:variant>
        <vt:i4>18</vt:i4>
      </vt:variant>
      <vt:variant>
        <vt:i4>0</vt:i4>
      </vt:variant>
      <vt:variant>
        <vt:i4>5</vt:i4>
      </vt:variant>
      <vt:variant>
        <vt:lpwstr>https://www.oecd.org/dac/stats/informationnoteonthedacdeflators.htm</vt:lpwstr>
      </vt:variant>
      <vt:variant>
        <vt:lpwstr/>
      </vt:variant>
      <vt:variant>
        <vt:i4>7995430</vt:i4>
      </vt:variant>
      <vt:variant>
        <vt:i4>9</vt:i4>
      </vt:variant>
      <vt:variant>
        <vt:i4>0</vt:i4>
      </vt:variant>
      <vt:variant>
        <vt:i4>5</vt:i4>
      </vt:variant>
      <vt:variant>
        <vt:lpwstr>http://www.oecd.org/dac/financing-sustainable-development/development-finance-topics/climate-change.htm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atteridge</dc:creator>
  <cp:keywords/>
  <dc:description/>
  <cp:lastModifiedBy>May Thazin Aung</cp:lastModifiedBy>
  <cp:revision>128</cp:revision>
  <dcterms:created xsi:type="dcterms:W3CDTF">2021-05-10T10:48:00Z</dcterms:created>
  <dcterms:modified xsi:type="dcterms:W3CDTF">2021-05-14T06:16:00Z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0x010100322DAE61E223804BAE36186A119B91F9</vt:lpwstr>
  </property>
</Properties>
</file>