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Report: Application of Appropriate Technology in Jodhpur’s Traditional Architecture</w:t>
      </w:r>
    </w:p>
    <w:p>
      <w:r>
        <w:t>Prepared by: [Your Name]</w:t>
        <w:br/>
        <w:t>Date: [Insert Date]</w:t>
        <w:br/>
        <w:t>City: Jodhpur, Rajasthan, India</w:t>
      </w:r>
    </w:p>
    <w:p>
      <w:pPr>
        <w:pStyle w:val="Heading2"/>
      </w:pPr>
      <w:r>
        <w:t>1. Introduction</w:t>
      </w:r>
    </w:p>
    <w:p>
      <w:r>
        <w:t>This final report analyzes traditional housing practices in Jodhpur as examples of appropriate technology—climate-responsive, locally adapted, and low-energy solutions. The report integrates architectural observations with electrical-engineering and thermal/flow modeling so the findings are quantitative and actionable.</w:t>
      </w:r>
    </w:p>
    <w:p>
      <w:pPr>
        <w:pStyle w:val="Heading2"/>
      </w:pPr>
      <w:r>
        <w:t>2. Climate and Urban Context</w:t>
      </w:r>
    </w:p>
    <w:p>
      <w:r>
        <w:t>Jodhpur is in a hot arid (desert) climate: high solar radiation, large daily temperature swings, and low rainfall. Traditional planning (narrow lanes, dense built fabric, courtyards) and materials (sandstone, lime plaster) evolved to address heat, dust, and water scarcity.</w:t>
      </w:r>
    </w:p>
    <w:p>
      <w:pPr>
        <w:pStyle w:val="Heading2"/>
      </w:pPr>
      <w:r>
        <w:t>3. Blue Houses and Use of Local Sandstone</w:t>
      </w:r>
    </w:p>
    <w:p>
      <w:r>
        <w:t>The iconic blue coating (lime + copper sulfate) reflects solar radiation, repels insects, and provides breathable surfaces. Jodhpur sandstone (locally quarried) provides thermal mass and low embodied energy compared to RCC. These materials remain common in modern institutional and residential buildings across the city.</w:t>
      </w:r>
    </w:p>
    <w:p>
      <w:pPr>
        <w:pStyle w:val="Heading2"/>
      </w:pPr>
      <w:r>
        <w:t>4. Courtyard Architecture, Ventilation &amp; Rainwater Harvesting</w:t>
      </w:r>
    </w:p>
    <w:p>
      <w:r>
        <w:t>Havelis use central courtyards, jaalis, and jharokhas to bring light and air into deep-plan interiors. Roofs and courtyardscollect rainwater to underground tanks (tankas), an adaptation still used in new buildings where water security is considered.</w:t>
      </w:r>
    </w:p>
    <w:p>
      <w:pPr>
        <w:pStyle w:val="Heading2"/>
      </w:pPr>
      <w:r>
        <w:t>5. Natural Lighting: Mathematical Analysis (Electrical Engineering Integration)</w:t>
      </w:r>
    </w:p>
    <w:p>
      <w:r>
        <w:t>Objective: quantify how window size and position determine daylight penetration and internal illuminance.</w:t>
        <w:br/>
        <w:br/>
        <w:t>Notation:</w:t>
        <w:br/>
        <w:t xml:space="preserve"> φ (Phi) = outdoor horizontal illuminance (lux) (use typical sunny value e.g. 70,000 lux)</w:t>
        <w:br/>
        <w:t xml:space="preserve"> Aw = glazed window area (m²)</w:t>
        <w:br/>
        <w:t xml:space="preserve"> τ = visible transmittance of glazing (fraction, e.g., 0.6)</w:t>
        <w:br/>
        <w:t xml:space="preserve"> θ = effective sky/view factor / incidence factor (0–1)</w:t>
        <w:br/>
        <w:t xml:space="preserve"> Aroom = room floor area (m²)</w:t>
        <w:br/>
        <w:t xml:space="preserve"> DF = daylight factor (fraction = Ein / Eext)</w:t>
        <w:br/>
        <w:t xml:space="preserve"> D = desired daylight penetration depth (m)</w:t>
        <w:br/>
        <w:t xml:space="preserve"> α = solar altitude (°)</w:t>
        <w:br/>
        <w:br/>
      </w:r>
    </w:p>
    <w:p>
      <w:r>
        <w:t>Key formulae and derivations:</w:t>
      </w:r>
    </w:p>
    <w:p>
      <w:r>
        <w:t xml:space="preserve">1) Solar altitude (α) at given time: </w:t>
        <w:br/>
        <w:t xml:space="preserve">   sin α = sin φ_lat × sin δ + cos φ_lat × cos δ × cos H</w:t>
        <w:br/>
        <w:t xml:space="preserve">   (φ_lat = latitude; δ = solar declination; H = hour angle)</w:t>
        <w:br/>
        <w:br/>
        <w:t>2) Penetration geometry (approximate beam reach):</w:t>
        <w:br/>
        <w:t xml:space="preserve">   x = h / tan α   ⇒   to reach depth D set h = D × tan α</w:t>
        <w:br/>
        <w:t xml:space="preserve">   (h = head height of window above floor)</w:t>
        <w:br/>
        <w:br/>
        <w:t>3) Daylight Factor (simplified relation):</w:t>
        <w:br/>
        <w:t xml:space="preserve">   DF ≈ (Aw × τ × θ × MF) / Aroom</w:t>
        <w:br/>
        <w:t xml:space="preserve">   where MF is a maintenance factor (≈0.8–0.9).</w:t>
        <w:br/>
        <w:t xml:space="preserve">   Rearranged for window area:</w:t>
        <w:br/>
        <w:t xml:space="preserve">   Aw ≈ (DF × Aroom) / (τ × θ × MF)</w:t>
        <w:br/>
        <w:br/>
      </w:r>
    </w:p>
    <w:p>
      <w:r>
        <w:t>Worked numerical example (Jodhpur-like values):</w:t>
      </w:r>
    </w:p>
    <w:p>
      <w:r>
        <w:t>Given: Aroom = 12 m² (3×4 m), target DF = 2% = 0.02, τ = 0.6, θ = 0.5 (moderate sky view), MF = 0.85.</w:t>
        <w:br/>
        <w:br/>
        <w:t>Compute:</w:t>
        <w:br/>
        <w:t xml:space="preserve"> Aw = (0.02 × 12) / (0.6 × 0.5 × 0.85) = 0.24 / 0.255 = 0.941 m²</w:t>
        <w:br/>
        <w:br/>
        <w:t>Interpretation: a glazed area ≈ 0.9–1.0 m² (e.g., 1.0 m × 0.94 m) typically suffices to provide DF≈2% in a 12 m² room.</w:t>
        <w:br/>
        <w:br/>
        <w:t>For penetration: to get daylight to D = 2.5 m at winter noon (α ≈ 40.27°):</w:t>
        <w:br/>
        <w:t xml:space="preserve"> h = D × tan α = 2.5 × tan(40.27°) ≈ 2.5 × 0.846 = 2.12 m</w:t>
        <w:br/>
        <w:br/>
        <w:t>Thus window head ≈ 2.1–2.2 m above floor — consistent with historical window heights.</w:t>
      </w:r>
    </w:p>
    <w:p>
      <w:r>
        <w:t>Electrical-engineering link: If daylight provides sufficient illuminance for t_day hours/day, lighting energy saved per room:</w:t>
        <w:br/>
        <w:t xml:space="preserve"> E_saved_day = P_light × t_day (Wh). Example: P_light = 60 W, t_day = 8 h ⇒ 480 Wh/day ≈ 0.48 kWh/day.</w:t>
        <w:br/>
        <w:t>Over 300 days: ≈144 kWh/year saved per room; multiply by number of rooms for campus-scale impact.</w:t>
        <w:br/>
      </w:r>
    </w:p>
    <w:p>
      <w:pPr>
        <w:pStyle w:val="Heading2"/>
      </w:pPr>
      <w:r>
        <w:t>6. Evaporative Cooling by Ghada (Mathematical Analysis)</w:t>
      </w:r>
    </w:p>
    <w:p>
      <w:r>
        <w:t>Objective: quantify cooling potential of porous earthen ghadas (matkas) and relate to sustainable refrigeration concepts.</w:t>
        <w:br/>
        <w:br/>
        <w:t>Notation:</w:t>
        <w:br/>
        <w:t xml:space="preserve"> Ta = ambient dry-bulb temperature (°C)</w:t>
        <w:br/>
        <w:t xml:space="preserve"> RH = relative humidity (fraction e.g. 0.20)</w:t>
        <w:br/>
        <w:t xml:space="preserve"> Tw(t) = water temperature inside ghada at time t (°C)</w:t>
        <w:br/>
        <w:t xml:space="preserve"> Tw,∞ = steady-state water temperature (°C)</w:t>
        <w:br/>
        <w:t xml:space="preserve"> Twb = ambient wet-bulb temperature (°C)</w:t>
        <w:br/>
        <w:t xml:space="preserve"> ε = evaporative effectiveness (0–1)</w:t>
        <w:br/>
        <w:t xml:space="preserve"> V = water volume in ghada (m³)</w:t>
        <w:br/>
        <w:t xml:space="preserve"> A = external surface area of ghada (m²)</w:t>
        <w:br/>
        <w:t xml:space="preserve"> hfg = latent heat of vaporization ≈ 2.45×10⁶ J/kg</w:t>
        <w:br/>
        <w:t xml:space="preserve"> ρw = 1000 kg/m³, cw = 4186 J/(kg·K)</w:t>
        <w:br/>
        <w:br/>
      </w:r>
    </w:p>
    <w:p>
      <w:r>
        <w:t>Key relations:</w:t>
      </w:r>
    </w:p>
    <w:p>
      <w:r>
        <w:t>1) Steady-state (approximate):</w:t>
        <w:br/>
        <w:t xml:space="preserve"> Tw,∞ = Ta - ε (Ta - Twb)</w:t>
        <w:br/>
        <w:br/>
        <w:t>2) Energy required to cool volume V by ΔT:</w:t>
        <w:br/>
        <w:t xml:space="preserve"> Q = ρw V cw ΔT  (J)</w:t>
        <w:br/>
        <w:br/>
        <w:t>3) Evaporation mass required:</w:t>
        <w:br/>
        <w:t xml:space="preserve"> m_ev = Q / hfg  (kg)</w:t>
        <w:br/>
        <w:br/>
        <w:t>4) Lumped transient model (first order):</w:t>
        <w:br/>
        <w:t xml:space="preserve"> ρw V cw dTw/dt = -ṁ_ev hfg + h A (Ta - Tw)</w:t>
        <w:br/>
        <w:t xml:space="preserve"> where ṁ_ev depends on vapor pressure difference and mass-transfer coefficient.</w:t>
        <w:br/>
        <w:br/>
      </w:r>
    </w:p>
    <w:p>
      <w:r>
        <w:t>Worked numerical example (conservative):</w:t>
      </w:r>
    </w:p>
    <w:p>
      <w:r>
        <w:t>Assumptions: Ta = 40°C, Twb ≈ 25°C (hot dry day), ε = 0.8, V = 20 L = 0.02 m³ (20 kg), A = 0.25 m².</w:t>
        <w:br/>
        <w:br/>
        <w:t>Steady-state estimate:</w:t>
        <w:br/>
        <w:t xml:space="preserve"> Tw,∞ = 40 - 0.8 × (40 - 25) = 40 - 12 = 28°C</w:t>
        <w:br/>
        <w:br/>
        <w:t>Energy removed to cool 20 kg from 40→28°C:</w:t>
        <w:br/>
        <w:t xml:space="preserve"> ΔT = 12 K; Q = m cw ΔT = 20 × 4186 × 12 ≈ 1,004,640 J ≈ 0.279 kWh</w:t>
        <w:br/>
        <w:br/>
        <w:t>Evaporated water mass required:</w:t>
        <w:br/>
        <w:t xml:space="preserve"> m_ev = Q / hfg ≈ 1,004,640 / (2.45×10⁶) ≈ 0.41 kg (≈0.41 L)</w:t>
        <w:br/>
        <w:br/>
        <w:t>Interpretation: cooling 20 L by 12°C needs evaporation of ~0.4 L of water — reasonable for dry desert conditions.</w:t>
        <w:br/>
      </w:r>
    </w:p>
    <w:p>
      <w:r>
        <w:t>Engineering link to refrigeration: ghada evaporative cooling can be used as:</w:t>
        <w:br/>
        <w:t>- Pre-cooling for small refrigerators (reduced compressor load)</w:t>
        <w:br/>
        <w:t>- Passive heat sink for thermoelectric modules</w:t>
        <w:br/>
        <w:t>- Component in hybrid PV-powered low-energy cooling systems</w:t>
        <w:br/>
        <w:t>Small fans (10–20 W) can augment evaporative mass transfer significantly, improving effectiveness ε.</w:t>
      </w:r>
    </w:p>
    <w:p>
      <w:pPr>
        <w:pStyle w:val="Heading2"/>
      </w:pPr>
      <w:r>
        <w:t>7. Ventilation Analysis (Stack &amp; Wind models) — Mathematical Details</w:t>
      </w:r>
    </w:p>
    <w:p>
      <w:r>
        <w:t>Objective: quantify natural ventilation rates (m³/s and ACH) from stack and wind-driven mechanisms observed in Jodhpur houses.</w:t>
        <w:br/>
        <w:br/>
        <w:t>Notation:</w:t>
        <w:br/>
        <w:t xml:space="preserve"> Q = volumetric flow rate (m³/s)</w:t>
        <w:br/>
        <w:t xml:space="preserve"> Cd = discharge coefficient (≈0.6)</w:t>
        <w:br/>
        <w:t xml:space="preserve"> A = effective opening area (m²)</w:t>
        <w:br/>
        <w:t xml:space="preserve"> g = 9.81 m/s²</w:t>
        <w:br/>
        <w:t xml:space="preserve"> H = vertical separation between openings (m)</w:t>
        <w:br/>
        <w:t xml:space="preserve"> ΔT = temperature difference (Ti - To) (K)</w:t>
        <w:br/>
        <w:t xml:space="preserve"> Tavg = absolute temperature ≈ 300 K</w:t>
        <w:br/>
        <w:t xml:space="preserve"> Vwind = wind speed (m/s), Cp = pressure coefficient (~0.2–0.8)</w:t>
        <w:br/>
      </w:r>
    </w:p>
    <w:p>
      <w:r>
        <w:t>Stack-driven flow formula (derived):</w:t>
      </w:r>
    </w:p>
    <w:p>
      <w:r>
        <w:t xml:space="preserve"> Q_stack ≈ Cd A sqrt( (2 g H ΔT) / Tavg )</w:t>
        <w:br/>
        <w:br/>
        <w:t>Wind-driven flow formula:</w:t>
        <w:br/>
        <w:t xml:space="preserve"> Q_wind ≈ Cd A sqrt(Cp) Vwind</w:t>
        <w:br/>
        <w:br/>
        <w:t>ACH = (Q × 3600) / V_room</w:t>
        <w:br/>
      </w:r>
    </w:p>
    <w:p>
      <w:r>
        <w:t>Worked examples (typical values):</w:t>
      </w:r>
    </w:p>
    <w:p>
      <w:r>
        <w:t>Room: 3×4×3 m → V_room = 36 m³. Use A = 1.0 m² (combined effective openings), Cd = 0.6.</w:t>
        <w:br/>
        <w:br/>
        <w:t>Stack example: H = 2.5 m, ΔT = 5 K, Tavg = 300 K.</w:t>
        <w:br/>
        <w:t xml:space="preserve"> Compute inside sqrt: (2×9.81×2.5×5)/300 = 245.25/300 = 0.8175; sqrt = 0.9041.</w:t>
        <w:br/>
        <w:t xml:space="preserve"> Q_stack = 0.6×1.0×0.9041 = 0.5425 m³/s → Q×3600 = 1952.99 m³/h → ACH ≈ 54.25 ACH.</w:t>
        <w:br/>
        <w:br/>
        <w:t>Wind example: Vwind = 3 m/s, Cp = 0.6.</w:t>
        <w:br/>
        <w:t xml:space="preserve"> sqrt(Cp) Vwind = sqrt(0.6)×3 ≈ 0.7746×3 = 2.3238.</w:t>
        <w:br/>
        <w:t xml:space="preserve"> Q_wind = 0.6×1.0×2.3238 = 1.3943 m³/s → ACH ≈ 139.4 ACH.</w:t>
        <w:br/>
        <w:br/>
        <w:t>Notes: These are idealized upper bounds. Real ACH is lower due to path losses and partial obstructions; still, values show why vernacular openings deliver strong ventilation.</w:t>
      </w:r>
    </w:p>
    <w:p>
      <w:r>
        <w:t>Comparison to modern AC: Mechanical systems produce controlled flow with fan power P = Q ΔP / η. Example: to produce Q = 0.5 m³/s against ΔP = 20 Pa with η=0.5, P ≈ 0.5×20/0.5 = 20 W (electrical).</w:t>
      </w:r>
    </w:p>
    <w:p>
      <w:pPr>
        <w:pStyle w:val="Heading2"/>
      </w:pPr>
      <w:r>
        <w:t>8. Case Study: Mehrangarh Fort — Lessons in Passive Engineering</w:t>
      </w:r>
    </w:p>
    <w:p>
      <w:r>
        <w:t>Mehrangarh Fort uses thick sandstone walls, high shaded openings, and internal water storage. Wind corridors accelerate breeze; thermal mass moderates interior swings. Its layout demonstrates the combined use of materials and geometry to achieve comfort without mechanical systems.</w:t>
      </w:r>
    </w:p>
    <w:p>
      <w:pPr>
        <w:pStyle w:val="Heading2"/>
      </w:pPr>
      <w:r>
        <w:t>9. Persistence in Modern Construction (Field Observations)</w:t>
      </w:r>
    </w:p>
    <w:p>
      <w:r>
        <w:t>Observations in Jodhpur: sandstone facades are present in new colleges and hostels; many buildings retain courtyards and jaali elements. Hostels without traditional water storage suffer shortages; those incorporating tankas and collection perform better.</w:t>
      </w:r>
    </w:p>
    <w:p>
      <w:pPr>
        <w:pStyle w:val="Heading2"/>
      </w:pPr>
      <w:r>
        <w:t>10. Conclusions &amp; Recommendations</w:t>
      </w:r>
    </w:p>
    <w:p>
      <w:r>
        <w:t>Traditional Jodhpur architecture embodies efficient passive systems for shading, daylighting, ventilation, and cooling. Recommendations:</w:t>
        <w:br/>
        <w:t>- Record measured values for a sample of rooms (window dims, head height, T_in/T_out, RH, wind speed) and run the formulas above.</w:t>
        <w:br/>
        <w:t>- For modern retrofits: hybridize passive openings with small DC fans and sensor control to keep energy use low.</w:t>
        <w:br/>
        <w:t>- Use sandstone and lime-based finishes where possible; promote rainwater harvesting in new hostels.</w:t>
        <w:br/>
        <w:t>- Use the provided formulas and example spreadsheet (appendix) to quantify savings and design targets.</w:t>
      </w:r>
    </w:p>
    <w:p>
      <w:pPr>
        <w:pStyle w:val="Heading2"/>
      </w:pPr>
      <w:r>
        <w:t>Appendix A: Measurement Checklist &amp; Key Formulae</w:t>
      </w:r>
    </w:p>
    <w:p>
      <w:r>
        <w:t>Checklist:</w:t>
        <w:br/>
        <w:t>- Room dimensions and volume</w:t>
        <w:br/>
        <w:t>- Window areas, sill and head heights</w:t>
        <w:br/>
        <w:t>- Ta, RH, wind speed at sampling times</w:t>
        <w:br/>
        <w:t>- Water ghada volume and surface area</w:t>
        <w:br/>
        <w:br/>
        <w:t>Key formulae (summary):</w:t>
        <w:br/>
        <w:t xml:space="preserve"> h = D tan α</w:t>
        <w:br/>
        <w:t xml:space="preserve"> Aw ≈ (DF × Aroom) / (τ θ MF)</w:t>
        <w:br/>
        <w:t xml:space="preserve"> Tw,∞ = Ta - ε (Ta - Twb)</w:t>
        <w:br/>
        <w:t xml:space="preserve"> Q_stack ≈ Cd A sqrt( (2 g H ΔT) / Tavg )</w:t>
        <w:br/>
        <w:t xml:space="preserve"> Q_wind ≈ Cd A sqrt(Cp) Vwind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