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307" w:lineRule="auto"/>
        <w:ind w:left="0"/>
        <w:jc w:val="center"/>
      </w:pPr>
      <w:r>
        <w:rPr>
          <w:rFonts w:ascii="맑은 고딕" w:hAnsi="맑은 고딕" w:eastAsia="맑은 고딕"/>
          <w:b/>
          <w:color w:val="1A1A1A"/>
          <w:sz w:val="28"/>
        </w:rPr>
        <w:t>문서관리규정 통폐합 검토 메모 — 문서 시행·직인 체계 개편(안)</w:t>
      </w:r>
    </w:p>
    <w:p>
      <w:pPr>
        <w:spacing w:before="0" w:after="120" w:line="307" w:lineRule="auto"/>
        <w:ind w:left="0"/>
        <w:jc w:val="center"/>
      </w:pPr>
      <w:r>
        <w:rPr>
          <w:rFonts w:ascii="맑은 고딕" w:hAnsi="맑은 고딕" w:eastAsia="맑은 고딕"/>
          <w:b w:val="0"/>
          <w:color w:val="777777"/>
          <w:sz w:val="17"/>
        </w:rPr>
        <w:t>경영전략부 (문서관리규정+전자문서관리 지침 통폐합 반영 요청) · 2026. 8.</w:t>
      </w:r>
    </w:p>
    <w:p>
      <w:pPr>
        <w:spacing w:before="160" w:after="60" w:line="307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3"/>
        </w:rPr>
        <w:t>1. 문제 — 현행 규정은 종이문서 시대 설계</w:t>
      </w:r>
    </w:p>
    <w:p>
      <w:pPr>
        <w:spacing w:before="0" w:after="40" w:line="307" w:lineRule="auto"/>
        <w:ind w:left="113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① 대내 시행문: 제13조가 "결재가 끝난 후 발송할 문서"에 시행문 작성을 요구하고, 제15조②가 대내문서까지 '발송' 개념으로 묶어 놓아, 전자결재가 끝난 문서를 사내 전파할 때도 시행문을 다시 만들어 발송하는 이중 작업이 규정상 정상 절차가 되어 있음.</w:t>
      </w:r>
    </w:p>
    <w:p>
      <w:pPr>
        <w:spacing w:before="0" w:after="40" w:line="307" w:lineRule="auto"/>
        <w:ind w:left="113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② 대외 발송·직인: 제15조②는 대외문서를 '보통우편' 원칙으로 규정 — 이메일·그룹 채널로 자료를 송부하는 현행 실무를 규정이 상정하지 못함(공백). 직인 생략 조항은 제14조③ 하나뿐인데 문언이 '여러 부서에 동시 발송'이라 대외 적용 여부가 불명확한 그레이 영역.</w:t>
      </w:r>
    </w:p>
    <w:p>
      <w:pPr>
        <w:spacing w:before="0" w:after="60" w:line="307" w:lineRule="auto"/>
        <w:ind w:left="113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③ 문서발송·접수대장은 (7-2)와 (7-4)가 같은 이름으로 각각 규정(중복), 대내문서 부서장 사인(私印) 날인 등 구식 절차 잔존.</w:t>
      </w:r>
    </w:p>
    <w:p>
      <w:pPr>
        <w:spacing w:before="160" w:after="60" w:line="307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3"/>
        </w:rPr>
        <w:t>2. 개편안 — 조문 신설·정비 문안</w:t>
      </w:r>
    </w:p>
    <w:p>
      <w:pPr>
        <w:spacing w:before="0" w:after="40" w:line="307" w:lineRule="auto"/>
        <w:ind w:left="113"/>
        <w:jc w:val="left"/>
      </w:pPr>
      <w:r>
        <w:rPr>
          <w:rFonts w:ascii="맑은 고딕" w:hAnsi="맑은 고딕" w:eastAsia="맑은 고딕"/>
          <w:b/>
          <w:color w:val="1A1A1A"/>
          <w:sz w:val="20"/>
        </w:rPr>
        <w:t>가. 문서의 시행 (시행문 체계 재정립)</w:t>
      </w:r>
    </w:p>
    <w:p>
      <w:pPr>
        <w:spacing w:before="0" w:after="40" w:line="307" w:lineRule="auto"/>
        <w:ind w:left="283"/>
        <w:jc w:val="left"/>
      </w:pPr>
      <w:r>
        <w:rPr>
          <w:rFonts w:ascii="맑은 고딕" w:hAnsi="맑은 고딕" w:eastAsia="맑은 고딕"/>
          <w:b w:val="0"/>
          <w:color w:val="124AC8"/>
          <w:sz w:val="19"/>
        </w:rPr>
        <w:t>제○조(문서의 시행) ① 문서는 결재권자의 결재로 성립하며, 전자결재시스템에 등록된 결재 완료 문서로 시행한다.</w:t>
      </w:r>
    </w:p>
    <w:p>
      <w:pPr>
        <w:spacing w:before="0" w:after="40" w:line="307" w:lineRule="auto"/>
        <w:ind w:left="283"/>
        <w:jc w:val="left"/>
      </w:pPr>
      <w:r>
        <w:rPr>
          <w:rFonts w:ascii="맑은 고딕" w:hAnsi="맑은 고딕" w:eastAsia="맑은 고딕"/>
          <w:b w:val="0"/>
          <w:color w:val="124AC8"/>
          <w:sz w:val="19"/>
        </w:rPr>
        <w:t>② 다른 부서의 처리·협조가 필요한 문서는 기안 시 수신 부서를 지정하며, 결재가 완료된 때에 전자결재시스템을 통하여 수신 부서에 통보된 것으로 본다.</w:t>
      </w:r>
    </w:p>
    <w:p>
      <w:pPr>
        <w:spacing w:before="0" w:after="40" w:line="307" w:lineRule="auto"/>
        <w:ind w:left="283"/>
        <w:jc w:val="left"/>
      </w:pPr>
      <w:r>
        <w:rPr>
          <w:rFonts w:ascii="맑은 고딕" w:hAnsi="맑은 고딕" w:eastAsia="맑은 고딕"/>
          <w:b w:val="0"/>
          <w:color w:val="124AC8"/>
          <w:sz w:val="19"/>
        </w:rPr>
        <w:t>③ 참고로 알릴 필요가 있는 문서는 공람으로 지정할 수 있다.</w:t>
      </w:r>
    </w:p>
    <w:p>
      <w:pPr>
        <w:spacing w:before="0" w:after="60" w:line="307" w:lineRule="auto"/>
        <w:ind w:left="283"/>
        <w:jc w:val="left"/>
      </w:pPr>
      <w:r>
        <w:rPr>
          <w:rFonts w:ascii="맑은 고딕" w:hAnsi="맑은 고딕" w:eastAsia="맑은 고딕"/>
          <w:b w:val="0"/>
          <w:color w:val="124AC8"/>
          <w:sz w:val="19"/>
        </w:rPr>
        <w:t>④ 회사 외부로 발신하는 문서에 한하여 시행문을 작성한다.</w:t>
      </w:r>
    </w:p>
    <w:p>
      <w:pPr>
        <w:spacing w:before="0" w:after="80" w:line="307" w:lineRule="auto"/>
        <w:ind w:left="227"/>
        <w:jc w:val="left"/>
      </w:pPr>
      <w:r>
        <w:rPr>
          <w:rFonts w:ascii="맑은 고딕" w:hAnsi="맑은 고딕" w:eastAsia="맑은 고딕"/>
          <w:b w:val="0"/>
          <w:color w:val="777777"/>
          <w:sz w:val="17"/>
        </w:rPr>
        <w:t>※ ②의 간주 문구가 접수 효력을 시스템 기록으로 명문화하는 핵심 — "공람으로 온 걸 처리해야 하는 줄 몰랐다" 분쟁 차단. 전자결재시스템의 수신부서 지정·통보 기능 지원 여부 확인 후 확정.</w:t>
      </w:r>
    </w:p>
    <w:p>
      <w:pPr>
        <w:spacing w:before="0" w:after="40" w:line="307" w:lineRule="auto"/>
        <w:ind w:left="113"/>
        <w:jc w:val="left"/>
      </w:pPr>
      <w:r>
        <w:rPr>
          <w:rFonts w:ascii="맑은 고딕" w:hAnsi="맑은 고딕" w:eastAsia="맑은 고딕"/>
          <w:b/>
          <w:color w:val="1A1A1A"/>
          <w:sz w:val="20"/>
        </w:rPr>
        <w:t>나. 직인 날인 (그레이 영역 해소)</w:t>
      </w:r>
    </w:p>
    <w:p>
      <w:pPr>
        <w:spacing w:before="0" w:after="40" w:line="307" w:lineRule="auto"/>
        <w:ind w:left="283"/>
        <w:jc w:val="left"/>
      </w:pPr>
      <w:r>
        <w:rPr>
          <w:rFonts w:ascii="맑은 고딕" w:hAnsi="맑은 고딕" w:eastAsia="맑은 고딕"/>
          <w:b w:val="0"/>
          <w:color w:val="124AC8"/>
          <w:sz w:val="19"/>
        </w:rPr>
        <w:t>제○조(직인의 날인) ① 대외문서에는 직인을 날인한다.</w:t>
      </w:r>
    </w:p>
    <w:p>
      <w:pPr>
        <w:spacing w:before="0" w:after="40" w:line="307" w:lineRule="auto"/>
        <w:ind w:left="283"/>
        <w:jc w:val="left"/>
      </w:pPr>
      <w:r>
        <w:rPr>
          <w:rFonts w:ascii="맑은 고딕" w:hAnsi="맑은 고딕" w:eastAsia="맑은 고딕"/>
          <w:b w:val="0"/>
          <w:color w:val="124AC8"/>
          <w:sz w:val="19"/>
        </w:rPr>
        <w:t>② 제1항에도 불구하고 다음 각 호의 어느 하나에 해당하는 문서는 발신 명의 다음에 "직인생략"을 표시하고 날인을 갈음할 수 있다.</w:t>
      </w:r>
    </w:p>
    <w:p>
      <w:pPr>
        <w:spacing w:before="0" w:after="40" w:line="307" w:lineRule="auto"/>
        <w:ind w:left="283"/>
        <w:jc w:val="left"/>
      </w:pPr>
      <w:r>
        <w:rPr>
          <w:rFonts w:ascii="맑은 고딕" w:hAnsi="맑은 고딕" w:eastAsia="맑은 고딕"/>
          <w:b w:val="0"/>
          <w:color w:val="124AC8"/>
          <w:sz w:val="19"/>
        </w:rPr>
        <w:t xml:space="preserve">  1. 정기적으로 제공하는 자료·통계 등 경미한 내용의 문서</w:t>
      </w:r>
    </w:p>
    <w:p>
      <w:pPr>
        <w:spacing w:before="0" w:after="40" w:line="307" w:lineRule="auto"/>
        <w:ind w:left="283"/>
        <w:jc w:val="left"/>
      </w:pPr>
      <w:r>
        <w:rPr>
          <w:rFonts w:ascii="맑은 고딕" w:hAnsi="맑은 고딕" w:eastAsia="맑은 고딕"/>
          <w:b w:val="0"/>
          <w:color w:val="124AC8"/>
          <w:sz w:val="19"/>
        </w:rPr>
        <w:t xml:space="preserve">  2. 동일한 문서를 다수의 수신처에 동시에 발송하는 문서</w:t>
      </w:r>
    </w:p>
    <w:p>
      <w:pPr>
        <w:spacing w:before="0" w:after="40" w:line="307" w:lineRule="auto"/>
        <w:ind w:left="283"/>
        <w:jc w:val="left"/>
      </w:pPr>
      <w:r>
        <w:rPr>
          <w:rFonts w:ascii="맑은 고딕" w:hAnsi="맑은 고딕" w:eastAsia="맑은 고딕"/>
          <w:b w:val="0"/>
          <w:color w:val="124AC8"/>
          <w:sz w:val="19"/>
        </w:rPr>
        <w:t>③ 권리의무에 관계되는 문서, 계약 관련 문서 및 각종 증명서류는 제2항에도 불구하고 직인을 날인하여야 한다.</w:t>
      </w:r>
    </w:p>
    <w:p>
      <w:pPr>
        <w:spacing w:before="0" w:after="60" w:line="307" w:lineRule="auto"/>
        <w:ind w:left="283"/>
        <w:jc w:val="left"/>
      </w:pPr>
      <w:r>
        <w:rPr>
          <w:rFonts w:ascii="맑은 고딕" w:hAnsi="맑은 고딕" w:eastAsia="맑은 고딕"/>
          <w:b w:val="0"/>
          <w:color w:val="124AC8"/>
          <w:sz w:val="19"/>
        </w:rPr>
        <w:t>④ 전자적으로 발신하는 대외문서는 전자결재시스템의 결재를 거쳐 전자이미지 직인 또는 전자서명으로 날인을 갈음할 수 있다.</w:t>
      </w:r>
    </w:p>
    <w:p>
      <w:pPr>
        <w:spacing w:before="0" w:after="80" w:line="307" w:lineRule="auto"/>
        <w:ind w:left="227"/>
        <w:jc w:val="left"/>
      </w:pPr>
      <w:r>
        <w:rPr>
          <w:rFonts w:ascii="맑은 고딕" w:hAnsi="맑은 고딕" w:eastAsia="맑은 고딕"/>
          <w:b w:val="0"/>
          <w:color w:val="777777"/>
          <w:sz w:val="17"/>
        </w:rPr>
        <w:t>※ '정기 대외업무 생략'을 ②1호로 명문화하되, ③의 네거티브 목록(권리의무·계약·증명은 무조건 날인)으로 남용을 차단하는 구조. 현행 제14조③('여러 부서')의 문언 한계를 '다수의 수신처'로 정비.</w:t>
      </w:r>
    </w:p>
    <w:p>
      <w:pPr>
        <w:spacing w:before="0" w:after="40" w:line="307" w:lineRule="auto"/>
        <w:ind w:left="113"/>
        <w:jc w:val="left"/>
      </w:pPr>
      <w:r>
        <w:rPr>
          <w:rFonts w:ascii="맑은 고딕" w:hAnsi="맑은 고딕" w:eastAsia="맑은 고딕"/>
          <w:b/>
          <w:color w:val="1A1A1A"/>
          <w:sz w:val="20"/>
        </w:rPr>
        <w:t>다. 연동 정리</w:t>
      </w:r>
    </w:p>
    <w:p>
      <w:pPr>
        <w:spacing w:before="0" w:after="20" w:line="307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· 발송인 날인·문서발송대장(제15조①) → 대외 발송으로 한정 (대내는 시스템 기록으로 갈음)</w:t>
      </w:r>
    </w:p>
    <w:p>
      <w:pPr>
        <w:spacing w:before="0" w:after="20" w:line="307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· 대내문서 부서장 서명·사인 날인(제14조②) → 전자결재 서명으로 갈음 명문화</w:t>
      </w:r>
    </w:p>
    <w:p>
      <w:pPr>
        <w:spacing w:before="0" w:after="20" w:line="307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· 대외문서 '보통우편' 원칙(제15조②) → 전자 발신 원칙 + 권리의무 관련은 등기·내용증명 유지</w:t>
      </w:r>
    </w:p>
    <w:p>
      <w:pPr>
        <w:spacing w:before="0" w:after="60" w:line="307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· 문서발송·접수대장 (7-2)·(7-4) 이중 규정 → 통합 시 일원화, 대장 총괄 장(작성·보존기간·폐기 공통 기준) 신설과 연계</w:t>
      </w:r>
    </w:p>
    <w:p>
      <w:pPr>
        <w:spacing w:before="160" w:after="60" w:line="307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3"/>
        </w:rPr>
        <w:t>3. 근거·선례</w:t>
      </w:r>
    </w:p>
    <w:p>
      <w:pPr>
        <w:spacing w:before="0" w:after="20" w:line="307" w:lineRule="auto"/>
        <w:ind w:left="113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· 정부 「행정업무의 운영 및 효율적 관리에 관한 규정」: 기안문·시행문 서식 통합(결재문서가 곧 시행문), 내부 전파는 시스템 공람·통보, 경미·대량 발송 문서의 관인생략 표시 제도</w:t>
      </w:r>
    </w:p>
    <w:p>
      <w:pPr>
        <w:spacing w:before="0" w:after="20" w:line="307" w:lineRule="auto"/>
        <w:ind w:left="113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· 사내 선례 ①: 사규 공포 — 종전 시행문 시달 → 「사규관리규정」(2026. 6. 23. 전부개정)으로 사규관리시스템 등재·자동 공포로 전환</w:t>
      </w:r>
    </w:p>
    <w:p>
      <w:pPr>
        <w:spacing w:before="0" w:after="20" w:line="307" w:lineRule="auto"/>
        <w:ind w:left="113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· 사내 선례 ②: 「모회사와의 사전협의 관리 규정」 제4조① — "공식문서(공식문서로 인정되는 전자문서 포함)" (그룹 간 전자문서의 공식성 인정)</w:t>
      </w:r>
    </w:p>
    <w:p>
      <w:pPr>
        <w:spacing w:before="0" w:after="60" w:line="307" w:lineRule="auto"/>
        <w:ind w:left="113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· 사내 선례 ③: 인사규정 개정안(검토 중) — 상벌 대장·명부의 전산 기록 갈음 (대장의 시스템 기록 대체와 동일 논리)</w:t>
      </w:r>
    </w:p>
    <w:p>
      <w:pPr>
        <w:spacing w:before="160" w:after="60" w:line="307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3"/>
        </w:rPr>
        <w:t>4. 기대 효과</w:t>
      </w:r>
    </w:p>
    <w:p>
      <w:pPr>
        <w:spacing w:before="0" w:after="60" w:line="307" w:lineRule="auto"/>
        <w:ind w:left="113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  <w:t>대내 시행문 작성·발송 이중 작업 폐지(전 부서 상시 절감), 직인 날인 기준의 자의성 제거('이거 직인 받아야 하나요?' 문의 소멸), 이메일·그룹 채널 발신의 규정 근거 확보, 대장 기록의 시스템 일원화.</w:t>
      </w:r>
    </w:p>
    <w:p>
      <w:pPr>
        <w:spacing w:before="0" w:after="40" w:line="307" w:lineRule="auto"/>
        <w:ind w:left="0"/>
        <w:jc w:val="left"/>
      </w:pPr>
      <w:r>
        <w:rPr>
          <w:rFonts w:ascii="맑은 고딕" w:hAnsi="맑은 고딕" w:eastAsia="맑은 고딕"/>
          <w:b w:val="0"/>
          <w:color w:val="1A1A1A"/>
          <w:sz w:val="20"/>
        </w:rPr>
      </w:r>
    </w:p>
    <w:p>
      <w:pPr>
        <w:spacing w:before="0" w:after="60" w:line="307" w:lineRule="auto"/>
        <w:ind w:left="0"/>
        <w:jc w:val="left"/>
      </w:pPr>
      <w:r>
        <w:rPr>
          <w:rFonts w:ascii="맑은 고딕" w:hAnsi="맑은 고딕" w:eastAsia="맑은 고딕"/>
          <w:b w:val="0"/>
          <w:color w:val="777777"/>
          <w:sz w:val="16"/>
        </w:rPr>
        <w:t>작성: 경영전략부 사규관리 담당 · 문의사항은 사규관리 담당자에게</w:t>
      </w: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